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配电柜采购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编号：SFLHG-GKBX-2025-HW76</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15</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配电柜采购比选文件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编号：SFLHG-GKBX-2025-HW76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四川宏达股份有限公司什邡磷化工分公司因生产需要，需采购配电柜2台，本着“公开、公平、公正”的原则，现对该标的物进行公开比选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配电柜</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792"/>
        <w:gridCol w:w="2380"/>
        <w:gridCol w:w="870"/>
        <w:gridCol w:w="1070"/>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92"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38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方案号/编号</w:t>
            </w:r>
          </w:p>
        </w:tc>
        <w:tc>
          <w:tcPr>
            <w:tcW w:w="8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0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92" w:type="dxa"/>
            <w:tcBorders>
              <w:left w:val="single" w:color="auto" w:sz="4" w:space="0"/>
            </w:tcBorders>
            <w:noWrap w:val="0"/>
            <w:vAlign w:val="center"/>
          </w:tcPr>
          <w:p w14:paraId="6CA0CEBB">
            <w:pPr>
              <w:keepNext w:val="0"/>
              <w:keepLines w:val="0"/>
              <w:widowControl/>
              <w:suppressLineNumbers w:val="0"/>
              <w:jc w:val="center"/>
              <w:textAlignment w:val="center"/>
              <w:rPr>
                <w:rFonts w:hint="default"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不锈钢配电箱</w:t>
            </w:r>
          </w:p>
        </w:tc>
        <w:tc>
          <w:tcPr>
            <w:tcW w:w="2380"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XL-21/DLX1</w:t>
            </w:r>
          </w:p>
        </w:tc>
        <w:tc>
          <w:tcPr>
            <w:tcW w:w="87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restart"/>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磷石膏循环利用场环保提升项目</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92"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不锈钢配电箱</w:t>
            </w:r>
          </w:p>
        </w:tc>
        <w:tc>
          <w:tcPr>
            <w:tcW w:w="2380" w:type="dxa"/>
            <w:tcBorders>
              <w:right w:val="single" w:color="auto" w:sz="4" w:space="0"/>
            </w:tcBorders>
            <w:noWrap w:val="0"/>
            <w:vAlign w:val="center"/>
          </w:tcPr>
          <w:p w14:paraId="52C16355">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XL-21/DLX2</w:t>
            </w:r>
          </w:p>
        </w:tc>
        <w:tc>
          <w:tcPr>
            <w:tcW w:w="870"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06961AA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continue"/>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bl>
    <w:p w14:paraId="5EB0B0C2">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说明：详细技术要求及配置见设计图。</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获取方式为：自 2025年10月15日17</w:t>
      </w:r>
      <w:bookmarkStart w:id="6" w:name="_GoBack"/>
      <w:bookmarkEnd w:id="6"/>
      <w:r>
        <w:rPr>
          <w:rFonts w:hint="eastAsia" w:ascii="黑体" w:hAnsi="黑体" w:eastAsia="黑体" w:cs="黑体"/>
          <w:kern w:val="2"/>
          <w:sz w:val="28"/>
          <w:szCs w:val="28"/>
          <w:lang w:val="en-US" w:eastAsia="zh-CN" w:bidi="ar-SA"/>
        </w:rPr>
        <w:t xml:space="preserve">时 00 分至 2025年10月22日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递交截止时间：2025年10月 22日10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Calibri" w:hAnsi="Calibri" w:eastAsia="黑体" w:cs="Calibri"/>
          <w:color w:val="auto"/>
          <w:kern w:val="0"/>
          <w:sz w:val="28"/>
          <w:szCs w:val="28"/>
          <w:lang w:val="en-US" w:eastAsia="zh-CN"/>
        </w:rPr>
        <w:t>标的物详细参数。</w:t>
      </w:r>
    </w:p>
    <w:p w14:paraId="0295FE2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配电柜采购项目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62A1E9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E502E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5E5AD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CE549D3">
      <w:pPr>
        <w:numPr>
          <w:ilvl w:val="0"/>
          <w:numId w:val="4"/>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配电箱</w:t>
      </w:r>
      <w:r>
        <w:rPr>
          <w:rFonts w:hint="eastAsia" w:ascii="黑体" w:hAnsi="黑体" w:eastAsia="黑体" w:cs="黑体"/>
          <w:color w:val="auto"/>
          <w:sz w:val="28"/>
          <w:szCs w:val="28"/>
          <w:lang w:val="en-US" w:eastAsia="zh-CN"/>
        </w:rPr>
        <w:t>参数及配置明细</w:t>
      </w: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p>
    <w:p w14:paraId="7426D43F">
      <w:pPr>
        <w:widowControl w:val="0"/>
        <w:numPr>
          <w:ilvl w:val="0"/>
          <w:numId w:val="0"/>
        </w:numPr>
        <w:kinsoku/>
        <w:overflowPunct/>
        <w:topLinePunct w:val="0"/>
        <w:bidi w:val="0"/>
        <w:ind w:right="0" w:rightChars="0"/>
        <w:jc w:val="both"/>
        <w:rPr>
          <w:rFonts w:hint="default"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注明配电箱外形尺寸、材质、板材厚度；注明所有电器元件品名、规格型号、生产商及数量。格式自拟。</w:t>
      </w:r>
    </w:p>
    <w:p w14:paraId="3612B39D">
      <w:pPr>
        <w:kinsoku/>
        <w:overflowPunct/>
        <w:topLinePunct w:val="0"/>
        <w:bidi w:val="0"/>
        <w:ind w:left="0" w:leftChars="0" w:right="0" w:rightChars="0" w:firstLine="562" w:firstLineChars="200"/>
        <w:jc w:val="both"/>
        <w:rPr>
          <w:rFonts w:ascii="宋体" w:hAnsi="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四</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6088C3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AA08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A076C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CA411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C095B9">
      <w:pPr>
        <w:shd w:val="clear" w:color="auto" w:fill="auto"/>
        <w:spacing w:line="360" w:lineRule="auto"/>
        <w:rPr>
          <w:rFonts w:hint="eastAsia"/>
          <w:color w:val="auto"/>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07E8F973"/>
    <w:multiLevelType w:val="singleLevel"/>
    <w:tmpl w:val="07E8F973"/>
    <w:lvl w:ilvl="0" w:tentative="0">
      <w:start w:val="3"/>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uiPriority w:val="0"/>
    <w:rPr>
      <w:rFonts w:hint="eastAsia" w:ascii="宋体" w:hAnsi="宋体" w:eastAsia="宋体" w:cs="宋体"/>
      <w:color w:val="FF0000"/>
      <w:sz w:val="18"/>
      <w:szCs w:val="18"/>
      <w:u w:val="none"/>
    </w:rPr>
  </w:style>
  <w:style w:type="character" w:customStyle="1" w:styleId="53">
    <w:name w:val="font31"/>
    <w:basedOn w:val="18"/>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4128</Words>
  <Characters>4379</Characters>
  <Lines>16</Lines>
  <Paragraphs>4</Paragraphs>
  <TotalTime>23</TotalTime>
  <ScaleCrop>false</ScaleCrop>
  <LinksUpToDate>false</LinksUpToDate>
  <CharactersWithSpaces>5275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2025-10-15T06:57:06Z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