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B99FD4E">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调节阀采购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编号：SFLHG-GKBX-2025-HW73</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13</w:t>
      </w:r>
      <w:r>
        <w:rPr>
          <w:rFonts w:hint="eastAsia" w:cs="黑体" w:asciiTheme="minorEastAsia" w:hAnsiTheme="minorEastAsia" w:eastAsiaTheme="minorEastAsia"/>
          <w:b/>
          <w:bCs/>
          <w:sz w:val="30"/>
          <w:szCs w:val="30"/>
          <w:highlight w:val="none"/>
          <w:lang w:val="en-US" w:eastAsia="zh-CN"/>
        </w:rPr>
        <w:t>日</w:t>
      </w:r>
    </w:p>
    <w:p w14:paraId="0278F3FA">
      <w:pPr>
        <w:widowControl/>
        <w:shd w:val="clear" w:color="auto" w:fill="FFFFFF"/>
        <w:spacing w:line="400" w:lineRule="exact"/>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调节阀</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编号：SFLHG-GKBX-2025-HW73</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宏达股份什邡磷化工分公司因生产技改需要，需采购调节阀1台，</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该标的物</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636208EE">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控制阀</w:t>
      </w:r>
    </w:p>
    <w:p w14:paraId="31B27AC2">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什邡磷化工分公司</w:t>
      </w:r>
    </w:p>
    <w:p w14:paraId="67EB3B3D">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
        <w:gridCol w:w="2250"/>
        <w:gridCol w:w="1700"/>
        <w:gridCol w:w="1030"/>
        <w:gridCol w:w="3700"/>
      </w:tblGrid>
      <w:tr w14:paraId="6BDD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序号</w:t>
            </w:r>
          </w:p>
        </w:tc>
        <w:tc>
          <w:tcPr>
            <w:tcW w:w="225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品名</w:t>
            </w:r>
          </w:p>
        </w:tc>
        <w:tc>
          <w:tcPr>
            <w:tcW w:w="170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w:t>
            </w:r>
          </w:p>
        </w:tc>
        <w:tc>
          <w:tcPr>
            <w:tcW w:w="103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rPr>
            </w:pPr>
            <w:r>
              <w:rPr>
                <w:rFonts w:hint="eastAsia" w:ascii="黑体" w:hAnsi="黑体" w:eastAsia="黑体" w:cs="宋体"/>
                <w:kern w:val="0"/>
                <w:sz w:val="28"/>
                <w:szCs w:val="28"/>
              </w:rPr>
              <w:t>数量</w:t>
            </w:r>
          </w:p>
        </w:tc>
        <w:tc>
          <w:tcPr>
            <w:tcW w:w="3700" w:type="dxa"/>
            <w:tcBorders>
              <w:right w:val="single" w:color="auto" w:sz="4" w:space="0"/>
            </w:tcBorders>
            <w:noWrap w:val="0"/>
            <w:vAlign w:val="top"/>
          </w:tcPr>
          <w:p w14:paraId="134B6461">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备注</w:t>
            </w:r>
          </w:p>
        </w:tc>
      </w:tr>
      <w:tr w14:paraId="10F19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5"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w:t>
            </w:r>
          </w:p>
        </w:tc>
        <w:tc>
          <w:tcPr>
            <w:tcW w:w="225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电动单座调节阀</w:t>
            </w:r>
          </w:p>
        </w:tc>
        <w:tc>
          <w:tcPr>
            <w:tcW w:w="170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DN125</w:t>
            </w:r>
            <w:r>
              <w:rPr>
                <w:rFonts w:hint="eastAsia" w:ascii="黑体" w:hAnsi="黑体" w:eastAsia="黑体" w:cs="宋体"/>
                <w:color w:val="auto"/>
                <w:kern w:val="0"/>
                <w:sz w:val="24"/>
                <w:szCs w:val="24"/>
                <w:lang w:val="en-US" w:eastAsia="zh-CN"/>
              </w:rPr>
              <w:t>/PN16</w:t>
            </w:r>
          </w:p>
        </w:tc>
        <w:tc>
          <w:tcPr>
            <w:tcW w:w="103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eastAsia" w:ascii="黑体" w:hAnsi="黑体" w:eastAsia="黑体" w:cs="宋体"/>
                <w:color w:val="auto"/>
                <w:kern w:val="0"/>
                <w:sz w:val="24"/>
                <w:szCs w:val="24"/>
                <w:lang w:val="en-US" w:eastAsia="zh-CN"/>
              </w:rPr>
              <w:t>1台</w:t>
            </w:r>
          </w:p>
        </w:tc>
        <w:tc>
          <w:tcPr>
            <w:tcW w:w="3700" w:type="dxa"/>
            <w:tcBorders>
              <w:right w:val="single" w:color="auto" w:sz="4" w:space="0"/>
            </w:tcBorders>
            <w:noWrap w:val="0"/>
            <w:vAlign w:val="center"/>
          </w:tcPr>
          <w:p w14:paraId="2BA9942E">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宋体"/>
                <w:color w:val="auto"/>
                <w:kern w:val="0"/>
                <w:sz w:val="24"/>
                <w:szCs w:val="24"/>
                <w:lang w:val="en-US" w:eastAsia="zh-CN"/>
              </w:rPr>
            </w:pPr>
            <w:r>
              <w:rPr>
                <w:rFonts w:hint="default" w:ascii="黑体" w:hAnsi="黑体" w:eastAsia="黑体" w:cs="宋体"/>
                <w:color w:val="auto"/>
                <w:kern w:val="0"/>
                <w:sz w:val="24"/>
                <w:szCs w:val="24"/>
                <w:lang w:val="en-US" w:eastAsia="zh-CN"/>
              </w:rPr>
              <w:t>天然气燃烧机进口压力调节</w:t>
            </w:r>
            <w:r>
              <w:rPr>
                <w:rFonts w:hint="eastAsia" w:ascii="黑体" w:hAnsi="黑体" w:eastAsia="黑体" w:cs="宋体"/>
                <w:color w:val="auto"/>
                <w:kern w:val="0"/>
                <w:sz w:val="24"/>
                <w:szCs w:val="24"/>
                <w:lang w:val="en-US" w:eastAsia="zh-CN"/>
              </w:rPr>
              <w:t>（20th循环流化床燃煤锅炉技改）</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8C3EEE8">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sz w:val="28"/>
          <w:szCs w:val="28"/>
          <w:lang w:eastAsia="zh-CN"/>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sz w:val="28"/>
          <w:szCs w:val="28"/>
        </w:rPr>
        <w:t>合同</w:t>
      </w:r>
      <w:r>
        <w:rPr>
          <w:rFonts w:hint="eastAsia" w:ascii="黑体" w:hAnsi="黑体" w:eastAsia="黑体"/>
          <w:sz w:val="28"/>
          <w:szCs w:val="28"/>
          <w:lang w:val="en-US" w:eastAsia="zh-CN"/>
        </w:rPr>
        <w:t>生效</w:t>
      </w:r>
      <w:r>
        <w:rPr>
          <w:rFonts w:ascii="黑体" w:hAnsi="黑体" w:eastAsia="黑体"/>
          <w:sz w:val="28"/>
          <w:szCs w:val="28"/>
        </w:rPr>
        <w:t>之日</w:t>
      </w:r>
      <w:r>
        <w:rPr>
          <w:rFonts w:hint="eastAsia" w:ascii="黑体" w:hAnsi="黑体" w:eastAsia="黑体"/>
          <w:sz w:val="28"/>
          <w:szCs w:val="28"/>
        </w:rPr>
        <w:t>起</w:t>
      </w:r>
      <w:r>
        <w:rPr>
          <w:rFonts w:hint="eastAsia" w:ascii="黑体" w:hAnsi="黑体" w:eastAsia="黑体"/>
          <w:sz w:val="28"/>
          <w:szCs w:val="28"/>
          <w:lang w:val="en-US" w:eastAsia="zh-CN"/>
        </w:rPr>
        <w:t>50</w:t>
      </w:r>
      <w:r>
        <w:rPr>
          <w:rFonts w:hint="eastAsia" w:ascii="黑体" w:hAnsi="黑体" w:eastAsia="黑体"/>
          <w:sz w:val="28"/>
          <w:szCs w:val="28"/>
        </w:rPr>
        <w:t>个自然日</w:t>
      </w:r>
      <w:r>
        <w:rPr>
          <w:rFonts w:ascii="黑体" w:hAnsi="黑体" w:eastAsia="黑体"/>
          <w:sz w:val="28"/>
          <w:szCs w:val="28"/>
        </w:rPr>
        <w:t>内</w:t>
      </w:r>
      <w:r>
        <w:rPr>
          <w:rFonts w:hint="eastAsia" w:ascii="黑体" w:hAnsi="黑体" w:eastAsia="黑体"/>
          <w:sz w:val="28"/>
          <w:szCs w:val="28"/>
        </w:rPr>
        <w:t>，由</w:t>
      </w:r>
      <w:r>
        <w:rPr>
          <w:rFonts w:hint="eastAsia" w:ascii="黑体" w:hAnsi="黑体" w:eastAsia="黑体"/>
          <w:sz w:val="28"/>
          <w:szCs w:val="28"/>
          <w:lang w:val="en-US" w:eastAsia="zh-CN"/>
        </w:rPr>
        <w:t>中选人</w:t>
      </w:r>
      <w:r>
        <w:rPr>
          <w:rFonts w:hint="eastAsia" w:ascii="黑体" w:hAnsi="黑体" w:eastAsia="黑体"/>
          <w:sz w:val="28"/>
          <w:szCs w:val="28"/>
        </w:rPr>
        <w:t>将标的物运</w:t>
      </w:r>
      <w:r>
        <w:rPr>
          <w:rFonts w:hint="eastAsia" w:ascii="黑体" w:hAnsi="黑体" w:eastAsia="黑体"/>
          <w:sz w:val="28"/>
          <w:szCs w:val="28"/>
          <w:lang w:eastAsia="zh-CN"/>
        </w:rPr>
        <w:t>（</w:t>
      </w:r>
      <w:r>
        <w:rPr>
          <w:rFonts w:hint="eastAsia" w:ascii="黑体" w:hAnsi="黑体" w:eastAsia="黑体"/>
          <w:sz w:val="28"/>
          <w:szCs w:val="28"/>
          <w:lang w:val="en-US" w:eastAsia="zh-CN"/>
        </w:rPr>
        <w:t>发</w:t>
      </w:r>
      <w:r>
        <w:rPr>
          <w:rFonts w:hint="eastAsia" w:ascii="黑体" w:hAnsi="黑体" w:eastAsia="黑体"/>
          <w:sz w:val="28"/>
          <w:szCs w:val="28"/>
          <w:lang w:eastAsia="zh-CN"/>
        </w:rPr>
        <w:t>）</w:t>
      </w:r>
    </w:p>
    <w:p w14:paraId="1248BFDC">
      <w:pPr>
        <w:spacing w:line="420" w:lineRule="exact"/>
        <w:rPr>
          <w:rFonts w:hint="eastAsia" w:ascii="黑体" w:hAnsi="黑体" w:eastAsia="黑体"/>
          <w:sz w:val="28"/>
          <w:szCs w:val="28"/>
        </w:rPr>
      </w:pPr>
      <w:r>
        <w:rPr>
          <w:rFonts w:hint="eastAsia" w:ascii="黑体" w:hAnsi="黑体" w:eastAsia="黑体"/>
          <w:sz w:val="28"/>
          <w:szCs w:val="28"/>
          <w:lang w:val="en-US" w:eastAsia="zh-CN"/>
        </w:rPr>
        <w:t>至比选人</w:t>
      </w:r>
      <w:r>
        <w:rPr>
          <w:rFonts w:hint="eastAsia" w:ascii="黑体" w:hAnsi="黑体" w:eastAsia="黑体"/>
          <w:sz w:val="28"/>
          <w:szCs w:val="28"/>
        </w:rPr>
        <w:t>安装现场。</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9B42D0C">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hint="eastAsia" w:ascii="黑体" w:hAnsi="黑体" w:eastAsia="黑体" w:cs="Times New Roman"/>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w:t>
      </w:r>
      <w:r>
        <w:rPr>
          <w:rFonts w:hint="eastAsia" w:ascii="黑体" w:hAnsi="黑体" w:eastAsia="黑体" w:cs="宋体"/>
          <w:kern w:val="0"/>
          <w:sz w:val="28"/>
          <w:szCs w:val="28"/>
          <w:lang w:val="en-US" w:eastAsia="zh-CN"/>
        </w:rPr>
        <w:t>调节阀</w:t>
      </w:r>
      <w:r>
        <w:rPr>
          <w:rFonts w:hint="eastAsia" w:ascii="黑体" w:hAnsi="黑体" w:eastAsia="黑体" w:cs="宋体"/>
          <w:kern w:val="0"/>
          <w:sz w:val="28"/>
          <w:szCs w:val="28"/>
        </w:rPr>
        <w:t>规格型号、</w:t>
      </w:r>
      <w:r>
        <w:rPr>
          <w:rFonts w:hint="eastAsia" w:ascii="黑体" w:hAnsi="黑体" w:eastAsia="黑体" w:cs="宋体"/>
          <w:kern w:val="0"/>
          <w:sz w:val="28"/>
          <w:szCs w:val="28"/>
          <w:lang w:val="en-US" w:eastAsia="zh-CN"/>
        </w:rPr>
        <w:t>执行机构型号、</w:t>
      </w:r>
      <w:r>
        <w:rPr>
          <w:rFonts w:hint="eastAsia" w:ascii="黑体" w:hAnsi="黑体" w:eastAsia="黑体" w:cs="宋体"/>
          <w:kern w:val="0"/>
          <w:sz w:val="28"/>
          <w:szCs w:val="28"/>
        </w:rPr>
        <w:t>数量等</w:t>
      </w:r>
      <w:r>
        <w:rPr>
          <w:rFonts w:hint="eastAsia" w:ascii="黑体" w:hAnsi="黑体" w:eastAsia="黑体" w:cs="Times New Roman"/>
          <w:sz w:val="28"/>
          <w:szCs w:val="28"/>
        </w:rPr>
        <w:t>进行入库验收。</w:t>
      </w:r>
    </w:p>
    <w:p w14:paraId="5B9B4107">
      <w:pPr>
        <w:spacing w:line="420" w:lineRule="exact"/>
        <w:rPr>
          <w:rFonts w:hint="default" w:ascii="黑体" w:hAnsi="黑体" w:eastAsia="黑体" w:cs="Times New Roman"/>
          <w:sz w:val="28"/>
          <w:szCs w:val="28"/>
          <w:lang w:val="en-US"/>
        </w:rPr>
      </w:pPr>
      <w:r>
        <w:rPr>
          <w:rFonts w:hint="eastAsia" w:ascii="黑体" w:hAnsi="黑体" w:eastAsia="黑体" w:cs="仿宋_GB2312"/>
          <w:sz w:val="28"/>
          <w:szCs w:val="28"/>
          <w:lang w:val="en-US" w:eastAsia="zh-CN"/>
        </w:rPr>
        <w:t>②通电运行，计量检测验收。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2025年10月14日10时 00 分至 2025年10月 21日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10月 21日10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lang w:val="en-US" w:eastAsia="zh-CN"/>
        </w:rPr>
        <w:t>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54A5BFD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①比选申请人需提供营业执照（三证合一）。</w:t>
      </w:r>
    </w:p>
    <w:p w14:paraId="6FD1B94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②比选申请人需提供控制阀型式试验报告。</w:t>
      </w:r>
    </w:p>
    <w:p w14:paraId="223CBE25">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提供近三年（2022年5月-2025年5月）相关制造及销售业绩（附中标通知书或合同扫描件，中标通知书或合同包括已履约完成和正在履约均可，同一家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eastAsia="zh-CN"/>
        </w:rPr>
        <w:t>。</w:t>
      </w:r>
    </w:p>
    <w:p w14:paraId="4D244DAF">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Segoe UI"/>
          <w:kern w:val="0"/>
          <w:sz w:val="28"/>
          <w:szCs w:val="28"/>
        </w:rPr>
        <w:t>。</w:t>
      </w:r>
    </w:p>
    <w:p w14:paraId="3A94AC3E">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5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⑤</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技术规格书。比选申请人根据控制阀数据表要求，提供技术规格书，注明控制阀规格型号、阀体阀芯阀座材质、执行机构规格型号及力矩大小、泄漏等级等相关参数。</w:t>
      </w:r>
    </w:p>
    <w:p w14:paraId="66DBDF8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fldChar w:fldCharType="begin"/>
      </w:r>
      <w:r>
        <w:rPr>
          <w:rFonts w:hint="eastAsia" w:ascii="黑体" w:hAnsi="黑体" w:eastAsia="黑体" w:cs="仿宋_GB2312"/>
          <w:sz w:val="28"/>
          <w:szCs w:val="28"/>
          <w:lang w:val="en-US" w:eastAsia="zh-CN"/>
        </w:rPr>
        <w:instrText xml:space="preserve"> = 6 \* GB3 \* MERGEFORMAT </w:instrText>
      </w:r>
      <w:r>
        <w:rPr>
          <w:rFonts w:hint="eastAsia" w:ascii="黑体" w:hAnsi="黑体" w:eastAsia="黑体" w:cs="仿宋_GB2312"/>
          <w:sz w:val="28"/>
          <w:szCs w:val="28"/>
          <w:lang w:val="en-US" w:eastAsia="zh-CN"/>
        </w:rPr>
        <w:fldChar w:fldCharType="separate"/>
      </w:r>
      <w:r>
        <w:rPr>
          <w:rFonts w:hint="eastAsia" w:ascii="黑体" w:hAnsi="黑体" w:eastAsia="黑体" w:cs="仿宋_GB2312"/>
          <w:sz w:val="28"/>
          <w:szCs w:val="28"/>
          <w:lang w:val="en-US" w:eastAsia="zh-CN"/>
        </w:rPr>
        <w:t>⑥</w:t>
      </w:r>
      <w:r>
        <w:rPr>
          <w:rFonts w:hint="eastAsia" w:ascii="黑体" w:hAnsi="黑体" w:eastAsia="黑体" w:cs="仿宋_GB2312"/>
          <w:sz w:val="28"/>
          <w:szCs w:val="28"/>
          <w:lang w:val="en-US" w:eastAsia="zh-CN"/>
        </w:rPr>
        <w:fldChar w:fldCharType="end"/>
      </w:r>
      <w:r>
        <w:rPr>
          <w:rFonts w:hint="eastAsia" w:ascii="黑体" w:hAnsi="黑体" w:eastAsia="黑体" w:cs="仿宋_GB2312"/>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w:t>
      </w:r>
      <w:r>
        <w:rPr>
          <w:rFonts w:hint="eastAsia" w:ascii="黑体" w:hAnsi="黑体" w:eastAsia="黑体" w:cs="Times New Roman"/>
          <w:sz w:val="28"/>
          <w:szCs w:val="28"/>
          <w:lang w:val="en-US" w:eastAsia="zh-CN"/>
        </w:rPr>
        <w:t>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传</w:t>
      </w:r>
      <w:r>
        <w:rPr>
          <w:rFonts w:hint="eastAsia" w:ascii="黑体" w:hAnsi="黑体" w:eastAsia="黑体" w:cs="宋体"/>
          <w:kern w:val="0"/>
          <w:sz w:val="28"/>
          <w:szCs w:val="28"/>
        </w:rPr>
        <w:t>送</w:t>
      </w:r>
      <w:r>
        <w:rPr>
          <w:rFonts w:hint="eastAsia" w:ascii="黑体" w:hAnsi="黑体" w:eastAsia="黑体" w:cs="宋体"/>
          <w:kern w:val="0"/>
          <w:sz w:val="28"/>
          <w:szCs w:val="28"/>
          <w:lang w:val="en-US" w:eastAsia="zh-CN"/>
        </w:rPr>
        <w:t>响应</w:t>
      </w:r>
      <w:r>
        <w:rPr>
          <w:rFonts w:hint="eastAsia" w:ascii="黑体" w:hAnsi="黑体" w:eastAsia="黑体" w:cs="宋体"/>
          <w:kern w:val="0"/>
          <w:sz w:val="28"/>
          <w:szCs w:val="28"/>
        </w:rPr>
        <w:t>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技术咨询：王江13700903942</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20636B28">
      <w:pPr>
        <w:pStyle w:val="5"/>
        <w:ind w:left="0" w:leftChars="0" w:firstLine="0" w:firstLineChars="0"/>
      </w:pPr>
    </w:p>
    <w:p w14:paraId="0F9C5B16">
      <w:pPr>
        <w:spacing w:line="420" w:lineRule="exact"/>
        <w:ind w:firstLine="5880" w:firstLineChars="2100"/>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四川宏达股份有限公司</w:t>
      </w:r>
    </w:p>
    <w:p w14:paraId="4B0F76CC">
      <w:pPr>
        <w:spacing w:line="420" w:lineRule="exact"/>
        <w:ind w:firstLine="5880" w:firstLineChars="2100"/>
        <w:rPr>
          <w:rFonts w:hint="eastAsia" w:ascii="黑体" w:hAnsi="黑体" w:eastAsia="黑体" w:cs="宋体"/>
          <w:b/>
          <w:kern w:val="0"/>
          <w:sz w:val="28"/>
          <w:szCs w:val="28"/>
          <w:lang w:val="en-US" w:eastAsia="zh-CN"/>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13</w:t>
      </w:r>
      <w:r>
        <w:rPr>
          <w:rFonts w:hint="eastAsia" w:ascii="黑体" w:hAnsi="黑体" w:eastAsia="黑体" w:cs="宋体"/>
          <w:kern w:val="0"/>
          <w:sz w:val="28"/>
          <w:szCs w:val="28"/>
        </w:rPr>
        <w:t>日</w:t>
      </w:r>
    </w:p>
    <w:p w14:paraId="08AFE51B">
      <w:pPr>
        <w:spacing w:line="360" w:lineRule="exact"/>
        <w:rPr>
          <w:rFonts w:hint="eastAsia" w:ascii="黑体" w:hAnsi="黑体" w:eastAsia="黑体" w:cs="宋体"/>
          <w:b/>
          <w:kern w:val="0"/>
          <w:sz w:val="28"/>
          <w:szCs w:val="28"/>
          <w:lang w:val="en-US" w:eastAsia="zh-CN"/>
        </w:rPr>
      </w:pPr>
    </w:p>
    <w:p w14:paraId="3B2DF38E">
      <w:pPr>
        <w:spacing w:line="360" w:lineRule="exact"/>
        <w:rPr>
          <w:rFonts w:hint="eastAsia" w:ascii="黑体" w:hAnsi="黑体" w:eastAsia="黑体" w:cs="宋体"/>
          <w:b/>
          <w:kern w:val="0"/>
          <w:sz w:val="28"/>
          <w:szCs w:val="28"/>
          <w:lang w:val="en-US" w:eastAsia="zh-CN"/>
        </w:rPr>
      </w:pPr>
    </w:p>
    <w:p w14:paraId="60440800">
      <w:pPr>
        <w:spacing w:line="360" w:lineRule="exact"/>
        <w:rPr>
          <w:rFonts w:hint="eastAsia" w:ascii="黑体" w:hAnsi="黑体" w:eastAsia="黑体" w:cs="宋体"/>
          <w:b/>
          <w:kern w:val="0"/>
          <w:sz w:val="28"/>
          <w:szCs w:val="28"/>
          <w:lang w:val="en-US" w:eastAsia="zh-CN"/>
        </w:rPr>
      </w:pPr>
    </w:p>
    <w:p w14:paraId="0F06E027">
      <w:pPr>
        <w:spacing w:line="360" w:lineRule="exact"/>
        <w:rPr>
          <w:rFonts w:hint="eastAsia" w:ascii="黑体" w:hAnsi="黑体" w:eastAsia="黑体" w:cs="宋体"/>
          <w:b/>
          <w:kern w:val="0"/>
          <w:sz w:val="28"/>
          <w:szCs w:val="28"/>
          <w:lang w:val="en-US" w:eastAsia="zh-CN"/>
        </w:rPr>
      </w:pPr>
    </w:p>
    <w:p w14:paraId="53FE57CD">
      <w:pPr>
        <w:spacing w:line="360" w:lineRule="exact"/>
        <w:rPr>
          <w:rFonts w:hint="eastAsia" w:ascii="黑体" w:hAnsi="黑体" w:eastAsia="黑体" w:cs="宋体"/>
          <w:b/>
          <w:kern w:val="0"/>
          <w:sz w:val="28"/>
          <w:szCs w:val="28"/>
          <w:lang w:val="en-US" w:eastAsia="zh-CN"/>
        </w:rPr>
      </w:pPr>
    </w:p>
    <w:p w14:paraId="1298C2DA">
      <w:pPr>
        <w:spacing w:line="360" w:lineRule="exact"/>
        <w:rPr>
          <w:rFonts w:hint="eastAsia" w:ascii="黑体" w:hAnsi="黑体" w:eastAsia="黑体" w:cs="宋体"/>
          <w:b/>
          <w:kern w:val="0"/>
          <w:sz w:val="28"/>
          <w:szCs w:val="28"/>
          <w:lang w:val="en-US" w:eastAsia="zh-CN"/>
        </w:rPr>
      </w:pPr>
    </w:p>
    <w:p w14:paraId="519D73BE">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调节阀</w:t>
      </w:r>
      <w:r>
        <w:rPr>
          <w:rFonts w:hint="eastAsia" w:ascii="黑体" w:hAnsi="黑体" w:eastAsia="黑体" w:cs="黑体"/>
          <w:color w:val="auto"/>
          <w:sz w:val="32"/>
          <w:szCs w:val="32"/>
        </w:rPr>
        <w:t>采</w:t>
      </w:r>
      <w:r>
        <w:rPr>
          <w:rFonts w:hint="eastAsia" w:ascii="黑体" w:hAnsi="黑体" w:eastAsia="黑体" w:cs="黑体"/>
          <w:b/>
          <w:bCs/>
          <w:sz w:val="32"/>
          <w:szCs w:val="32"/>
        </w:rPr>
        <w:t>购</w:t>
      </w:r>
      <w:r>
        <w:rPr>
          <w:rFonts w:hint="eastAsia" w:ascii="黑体" w:hAnsi="黑体" w:eastAsia="黑体" w:cs="黑体"/>
          <w:b/>
          <w:bCs/>
          <w:sz w:val="32"/>
          <w:szCs w:val="32"/>
          <w:lang w:val="en-US" w:eastAsia="zh-CN"/>
        </w:rPr>
        <w:t>项目</w:t>
      </w:r>
    </w:p>
    <w:p w14:paraId="4C17A279">
      <w:pPr>
        <w:jc w:val="center"/>
        <w:rPr>
          <w:rFonts w:hint="eastAsia" w:ascii="黑体" w:hAnsi="黑体" w:eastAsia="黑体" w:cs="黑体"/>
          <w:b/>
          <w:bCs/>
          <w:sz w:val="32"/>
          <w:szCs w:val="32"/>
        </w:rPr>
      </w:pPr>
    </w:p>
    <w:p w14:paraId="26DFE4FB">
      <w:pPr>
        <w:jc w:val="center"/>
        <w:rPr>
          <w:rFonts w:hint="eastAsia" w:ascii="黑体" w:hAnsi="黑体" w:eastAsia="黑体" w:cs="黑体"/>
          <w:b/>
          <w:bCs/>
          <w:sz w:val="32"/>
          <w:szCs w:val="32"/>
        </w:rPr>
      </w:pPr>
      <w:r>
        <w:rPr>
          <w:rFonts w:hint="eastAsia" w:ascii="黑体" w:hAnsi="黑体" w:eastAsia="黑体" w:cs="黑体"/>
          <w:b/>
          <w:bCs/>
          <w:sz w:val="32"/>
          <w:szCs w:val="32"/>
          <w:lang w:val="en-US" w:eastAsia="zh-CN"/>
        </w:rPr>
        <w:t>响应性</w:t>
      </w:r>
      <w:r>
        <w:rPr>
          <w:rFonts w:hint="eastAsia" w:ascii="黑体" w:hAnsi="黑体" w:eastAsia="黑体" w:cs="黑体"/>
          <w:b/>
          <w:bCs/>
          <w:sz w:val="32"/>
          <w:szCs w:val="32"/>
        </w:rPr>
        <w:t>文件</w:t>
      </w:r>
    </w:p>
    <w:p w14:paraId="2D3A4F1A">
      <w:pPr>
        <w:kinsoku/>
        <w:overflowPunct/>
        <w:topLinePunct w:val="0"/>
        <w:bidi w:val="0"/>
        <w:ind w:left="0" w:leftChars="0" w:right="0" w:rightChars="0" w:firstLine="720" w:firstLineChars="200"/>
        <w:jc w:val="center"/>
        <w:rPr>
          <w:rFonts w:ascii="黑体" w:hAnsi="宋体" w:eastAsia="黑体"/>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0302F8B9">
      <w:pPr>
        <w:kinsoku/>
        <w:overflowPunct/>
        <w:topLinePunct w:val="0"/>
        <w:bidi w:val="0"/>
        <w:ind w:left="0" w:leftChars="0" w:right="0" w:rightChars="0" w:firstLine="562" w:firstLineChars="200"/>
        <w:jc w:val="both"/>
        <w:rPr>
          <w:rFonts w:hint="eastAsia"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b/>
          <w:bCs/>
          <w:color w:val="auto"/>
          <w:sz w:val="28"/>
          <w:szCs w:val="28"/>
        </w:rPr>
        <w:br w:type="page"/>
      </w:r>
      <w:bookmarkStart w:id="0" w:name="_Toc4384"/>
      <w:bookmarkStart w:id="1" w:name="_Toc30198"/>
      <w:bookmarkStart w:id="2"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5A26A258">
      <w:pPr>
        <w:keepNext/>
        <w:keepLines/>
        <w:tabs>
          <w:tab w:val="left" w:pos="215"/>
          <w:tab w:val="center" w:pos="4535"/>
        </w:tabs>
        <w:autoSpaceDE w:val="0"/>
        <w:autoSpaceDN w:val="0"/>
        <w:adjustRightInd w:val="0"/>
        <w:spacing w:before="340" w:after="330"/>
        <w:jc w:val="both"/>
        <w:rPr>
          <w:rFonts w:hint="default"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en-US" w:eastAsia="zh-CN"/>
        </w:rPr>
        <w:t>（二）型式试验报告</w:t>
      </w:r>
    </w:p>
    <w:bookmarkEnd w:id="0"/>
    <w:bookmarkEnd w:id="1"/>
    <w:bookmarkEnd w:id="2"/>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D78DBA">
      <w:pPr>
        <w:kinsoku/>
        <w:overflowPunct/>
        <w:topLinePunct w:val="0"/>
        <w:bidi w:val="0"/>
        <w:ind w:right="0" w:rightChars="0"/>
        <w:jc w:val="left"/>
        <w:rPr>
          <w:rFonts w:hint="eastAsia" w:ascii="宋体" w:hAnsi="宋体" w:cs="宋体"/>
          <w:b/>
          <w:bCs/>
          <w:color w:val="auto"/>
          <w:sz w:val="28"/>
          <w:szCs w:val="28"/>
        </w:rPr>
      </w:pPr>
    </w:p>
    <w:p w14:paraId="029F33F4">
      <w:pPr>
        <w:kinsoku/>
        <w:overflowPunct/>
        <w:topLinePunct w:val="0"/>
        <w:bidi w:val="0"/>
        <w:ind w:right="0" w:rightChars="0"/>
        <w:jc w:val="both"/>
        <w:rPr>
          <w:rFonts w:hint="eastAsia" w:ascii="宋体" w:hAnsi="宋体" w:cs="宋体"/>
          <w:b/>
          <w:bCs/>
          <w:color w:val="auto"/>
          <w:sz w:val="28"/>
          <w:szCs w:val="28"/>
          <w:lang w:val="en-US" w:eastAsia="zh-CN"/>
        </w:rPr>
      </w:pPr>
    </w:p>
    <w:p w14:paraId="12D29F3A">
      <w:pPr>
        <w:kinsoku/>
        <w:overflowPunct/>
        <w:topLinePunct w:val="0"/>
        <w:bidi w:val="0"/>
        <w:ind w:right="0" w:rightChars="0"/>
        <w:jc w:val="both"/>
        <w:rPr>
          <w:rFonts w:hint="eastAsia" w:ascii="宋体" w:hAnsi="宋体" w:cs="宋体"/>
          <w:b/>
          <w:bCs/>
          <w:color w:val="auto"/>
          <w:sz w:val="28"/>
          <w:szCs w:val="28"/>
          <w:lang w:val="en-US" w:eastAsia="zh-CN"/>
        </w:rPr>
      </w:pPr>
    </w:p>
    <w:p w14:paraId="48DB0473">
      <w:pPr>
        <w:kinsoku/>
        <w:overflowPunct/>
        <w:topLinePunct w:val="0"/>
        <w:bidi w:val="0"/>
        <w:ind w:right="0" w:rightChars="0"/>
        <w:jc w:val="both"/>
        <w:rPr>
          <w:rFonts w:hint="eastAsia" w:ascii="宋体" w:hAnsi="宋体" w:cs="宋体"/>
          <w:b/>
          <w:bCs/>
          <w:color w:val="auto"/>
          <w:sz w:val="28"/>
          <w:szCs w:val="28"/>
          <w:lang w:val="en-US" w:eastAsia="zh-CN"/>
        </w:rPr>
      </w:pPr>
    </w:p>
    <w:p w14:paraId="21A24C08">
      <w:pPr>
        <w:kinsoku/>
        <w:overflowPunct/>
        <w:topLinePunct w:val="0"/>
        <w:bidi w:val="0"/>
        <w:ind w:right="0" w:rightChars="0"/>
        <w:jc w:val="both"/>
        <w:rPr>
          <w:rFonts w:hint="eastAsia" w:ascii="宋体" w:hAnsi="宋体" w:cs="宋体"/>
          <w:b/>
          <w:bCs/>
          <w:color w:val="auto"/>
          <w:sz w:val="28"/>
          <w:szCs w:val="28"/>
          <w:lang w:val="en-US" w:eastAsia="zh-CN"/>
        </w:rPr>
      </w:pPr>
    </w:p>
    <w:p w14:paraId="499EE737">
      <w:pPr>
        <w:kinsoku/>
        <w:overflowPunct/>
        <w:topLinePunct w:val="0"/>
        <w:bidi w:val="0"/>
        <w:ind w:right="0" w:rightChars="0"/>
        <w:jc w:val="both"/>
        <w:rPr>
          <w:rFonts w:hint="eastAsia" w:ascii="宋体" w:hAnsi="宋体" w:cs="宋体"/>
          <w:b/>
          <w:bCs/>
          <w:color w:val="auto"/>
          <w:sz w:val="28"/>
          <w:szCs w:val="28"/>
          <w:lang w:val="en-US" w:eastAsia="zh-CN"/>
        </w:rPr>
      </w:pPr>
    </w:p>
    <w:p w14:paraId="3612B39D">
      <w:pPr>
        <w:kinsoku/>
        <w:overflowPunct/>
        <w:topLinePunct w:val="0"/>
        <w:bidi w:val="0"/>
        <w:ind w:right="0" w:rightChars="0"/>
        <w:jc w:val="both"/>
        <w:rPr>
          <w:rFonts w:ascii="宋体" w:hAnsi="宋体" w:cs="宋体"/>
          <w:b/>
          <w:bCs/>
          <w:color w:val="auto"/>
          <w:sz w:val="28"/>
          <w:szCs w:val="28"/>
        </w:rPr>
      </w:pPr>
      <w:r>
        <w:rPr>
          <w:rFonts w:hint="eastAsia" w:ascii="宋体" w:hAnsi="宋体" w:cs="宋体"/>
          <w:b/>
          <w:bCs/>
          <w:color w:val="auto"/>
          <w:sz w:val="28"/>
          <w:szCs w:val="28"/>
          <w:lang w:val="en-US" w:eastAsia="zh-CN"/>
        </w:rPr>
        <w:t>（三）业绩</w:t>
      </w:r>
      <w:r>
        <w:rPr>
          <w:rFonts w:hint="eastAsia" w:ascii="宋体" w:hAnsi="宋体" w:cs="宋体"/>
          <w:b/>
          <w:bCs/>
          <w:color w:val="auto"/>
          <w:sz w:val="28"/>
          <w:szCs w:val="28"/>
        </w:rPr>
        <w:t>证明文件</w:t>
      </w:r>
    </w:p>
    <w:p w14:paraId="12CA5CB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CE7B2CA">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B600B00">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4A559E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5B2753B">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DEA55C9">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6088C3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25AA08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A076CD">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3CA411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EEDCA2">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47243C1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818BD3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11B7F336">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3516067">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8D95F">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52C51ECE">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7BDAB4B3">
      <w:pPr>
        <w:widowControl/>
        <w:kinsoku/>
        <w:overflowPunct/>
        <w:topLinePunct w:val="0"/>
        <w:bidi w:val="0"/>
        <w:spacing w:line="360" w:lineRule="auto"/>
        <w:ind w:left="0" w:leftChars="0" w:right="0" w:rightChars="0" w:firstLine="560" w:firstLineChars="200"/>
        <w:rPr>
          <w:rFonts w:hint="eastAsia" w:ascii="黑体" w:hAnsi="黑体" w:eastAsia="黑体" w:cs="Segoe UI"/>
          <w:kern w:val="0"/>
          <w:sz w:val="28"/>
          <w:szCs w:val="28"/>
          <w:lang w:val="en-US" w:eastAsia="zh-CN"/>
        </w:rPr>
      </w:pPr>
    </w:p>
    <w:p w14:paraId="6F4D2997">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25D728B3">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footerReference r:id="rId8"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szCs w:val="21"/>
        </w:rPr>
        <w:t xml:space="preserve">               </w:t>
      </w:r>
    </w:p>
    <w:p w14:paraId="467E6BBE">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lang w:val="en-US" w:eastAsia="zh-CN"/>
        </w:rPr>
        <w:t>（四）</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p>
    <w:p w14:paraId="7DD9BEB2">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3CB279F3">
      <w:pPr>
        <w:pStyle w:val="51"/>
        <w:keepNext w:val="0"/>
        <w:keepLines w:val="0"/>
        <w:pageBreakBefore w:val="0"/>
        <w:numPr>
          <w:ilvl w:val="0"/>
          <w:numId w:val="3"/>
        </w:numPr>
        <w:kinsoku/>
        <w:wordWrap/>
        <w:overflowPunct/>
        <w:topLinePunct w:val="0"/>
        <w:autoSpaceDE/>
        <w:autoSpaceDN/>
        <w:bidi w:val="0"/>
        <w:adjustRightInd w:val="0"/>
        <w:snapToGrid w:val="0"/>
        <w:spacing w:line="360" w:lineRule="auto"/>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34336B01">
      <w:pPr>
        <w:keepNext w:val="0"/>
        <w:keepLines w:val="0"/>
        <w:pageBreakBefore w:val="0"/>
        <w:widowControl/>
        <w:numPr>
          <w:ilvl w:val="0"/>
          <w:numId w:val="3"/>
        </w:numPr>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2ECB5D9F">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3448DF2D">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53D2C073">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360508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178F950">
      <w:pPr>
        <w:keepNext w:val="0"/>
        <w:keepLines w:val="0"/>
        <w:pageBreakBefore w:val="0"/>
        <w:kinsoku/>
        <w:wordWrap/>
        <w:overflowPunct/>
        <w:topLinePunct w:val="0"/>
        <w:autoSpaceDE/>
        <w:autoSpaceDN/>
        <w:bidi w:val="0"/>
        <w:spacing w:line="360" w:lineRule="auto"/>
        <w:jc w:val="both"/>
        <w:textAlignment w:val="auto"/>
        <w:rPr>
          <w:rFonts w:asciiTheme="minorEastAsia" w:hAnsiTheme="minorEastAsia" w:eastAsiaTheme="minorEastAsia"/>
          <w:sz w:val="24"/>
          <w:szCs w:val="24"/>
          <w:highlight w:val="none"/>
        </w:rPr>
      </w:pPr>
    </w:p>
    <w:p w14:paraId="2DFBDF5B">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17816448">
      <w:pPr>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70ACBF">
      <w:pPr>
        <w:keepNext w:val="0"/>
        <w:keepLines w:val="0"/>
        <w:pageBreakBefore w:val="0"/>
        <w:kinsoku/>
        <w:wordWrap/>
        <w:overflowPunct/>
        <w:topLinePunct w:val="0"/>
        <w:autoSpaceDE/>
        <w:autoSpaceDN/>
        <w:bidi w:val="0"/>
        <w:spacing w:line="360" w:lineRule="auto"/>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34ACED9A">
      <w:pPr>
        <w:kinsoku/>
        <w:overflowPunct/>
        <w:topLinePunct w:val="0"/>
        <w:bidi w:val="0"/>
        <w:spacing w:line="360" w:lineRule="auto"/>
        <w:ind w:left="0" w:leftChars="0" w:right="0" w:rightChars="0" w:firstLine="480" w:firstLineChars="200"/>
        <w:rPr>
          <w:rFonts w:ascii="宋体" w:hAnsi="宋体"/>
          <w:color w:val="auto"/>
          <w:sz w:val="24"/>
        </w:rPr>
      </w:pPr>
    </w:p>
    <w:p w14:paraId="53086F2A">
      <w:pPr>
        <w:pStyle w:val="50"/>
        <w:kinsoku/>
        <w:overflowPunct/>
        <w:topLinePunct w:val="0"/>
        <w:bidi w:val="0"/>
        <w:spacing w:line="360" w:lineRule="auto"/>
        <w:ind w:left="0" w:leftChars="0" w:right="0" w:rightChars="0" w:firstLine="482" w:firstLineChars="200"/>
        <w:jc w:val="center"/>
        <w:rPr>
          <w:rFonts w:hint="default" w:ascii="宋体" w:hAnsi="宋体" w:eastAsia="宋体"/>
          <w:b/>
          <w:color w:val="auto"/>
          <w:lang w:val="en-US" w:eastAsia="zh-CN"/>
        </w:rPr>
      </w:pPr>
      <w:r>
        <w:rPr>
          <w:rFonts w:hint="eastAsia" w:ascii="宋体" w:hAnsi="宋体" w:eastAsia="宋体"/>
          <w:b/>
          <w:color w:val="auto"/>
        </w:rPr>
        <w:t>报价表</w:t>
      </w:r>
      <w:r>
        <w:rPr>
          <w:rFonts w:hint="eastAsia" w:ascii="宋体" w:hAnsi="宋体" w:eastAsia="宋体"/>
          <w:b/>
          <w:color w:val="auto"/>
          <w:lang w:val="en-US" w:eastAsia="zh-CN"/>
        </w:rPr>
        <w:t>详细目录</w:t>
      </w:r>
    </w:p>
    <w:p w14:paraId="3F6B410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262"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333"/>
      </w:tblGrid>
      <w:tr w14:paraId="52FE2029">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79D310A">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FAD4C6">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353A01AC">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FEF2758">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C1D3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291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投标报价（现汇付款税率13%）</w:t>
            </w:r>
          </w:p>
        </w:tc>
        <w:tc>
          <w:tcPr>
            <w:tcW w:w="1333"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7DFD6322">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D81AD5A">
        <w:tblPrEx>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4317BCB">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166D905">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E130D1C">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FBF8462">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D458999">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EBA7A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4F58FC">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333"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70A4F52B">
            <w:pPr>
              <w:jc w:val="left"/>
              <w:rPr>
                <w:rFonts w:hint="eastAsia" w:ascii="宋体" w:hAnsi="宋体" w:eastAsia="宋体" w:cs="宋体"/>
                <w:b/>
                <w:i w:val="0"/>
                <w:color w:val="auto"/>
                <w:sz w:val="18"/>
                <w:szCs w:val="18"/>
                <w:highlight w:val="none"/>
                <w:u w:val="none"/>
              </w:rPr>
            </w:pPr>
          </w:p>
        </w:tc>
      </w:tr>
      <w:tr w14:paraId="601E0C1B">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9867935">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87258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349AC4">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1D4FF1">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F7C4C0">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F1B33F">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DD79F6">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FB4ABBC">
            <w:pPr>
              <w:rPr>
                <w:rFonts w:hint="eastAsia" w:ascii="宋体" w:hAnsi="宋体" w:eastAsia="宋体" w:cs="宋体"/>
                <w:i w:val="0"/>
                <w:color w:val="auto"/>
                <w:sz w:val="18"/>
                <w:szCs w:val="18"/>
                <w:highlight w:val="none"/>
                <w:u w:val="none"/>
              </w:rPr>
            </w:pPr>
          </w:p>
        </w:tc>
      </w:tr>
      <w:tr w14:paraId="1F6069D6">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05556133">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6C909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7A8BB2">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2CCEE6">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99E57B">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2B33E4">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46F06D">
            <w:pPr>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CF9235">
            <w:pPr>
              <w:rPr>
                <w:rFonts w:hint="eastAsia" w:ascii="宋体" w:hAnsi="宋体" w:eastAsia="宋体" w:cs="宋体"/>
                <w:i w:val="0"/>
                <w:color w:val="auto"/>
                <w:sz w:val="18"/>
                <w:szCs w:val="18"/>
                <w:highlight w:val="none"/>
                <w:u w:val="none"/>
              </w:rPr>
            </w:pPr>
          </w:p>
        </w:tc>
      </w:tr>
      <w:tr w14:paraId="59F7847A">
        <w:tblPrEx>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C55B187">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663"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6A55F7C">
            <w:pPr>
              <w:rPr>
                <w:rFonts w:hint="default" w:ascii="宋体" w:hAnsi="宋体" w:eastAsia="宋体" w:cs="宋体"/>
                <w:b/>
                <w:bCs/>
                <w:i w:val="0"/>
                <w:color w:val="auto"/>
                <w:sz w:val="18"/>
                <w:szCs w:val="18"/>
                <w:highlight w:val="none"/>
                <w:u w:val="none"/>
                <w:lang w:val="en-US" w:eastAsia="zh-CN"/>
              </w:rPr>
            </w:pPr>
          </w:p>
        </w:tc>
      </w:tr>
    </w:tbl>
    <w:p w14:paraId="3F88254E">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DFDCE2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A61F3E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EC3A293">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197799B">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E45D43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56E543D8">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4EBDF0F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4755A8">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3363FD">
      <w:pPr>
        <w:kinsoku/>
        <w:overflowPunct/>
        <w:topLinePunct w:val="0"/>
        <w:bidi w:val="0"/>
        <w:spacing w:line="360" w:lineRule="auto"/>
        <w:ind w:left="0" w:leftChars="0" w:right="0" w:rightChars="0" w:firstLine="562" w:firstLineChars="200"/>
        <w:jc w:val="left"/>
        <w:rPr>
          <w:rFonts w:hint="eastAsia" w:ascii="宋体" w:hAnsi="宋体" w:cs="宋体"/>
          <w:b/>
          <w:bCs/>
          <w:color w:val="auto"/>
          <w:sz w:val="28"/>
          <w:szCs w:val="28"/>
          <w:lang w:val="en-US" w:eastAsia="zh-CN"/>
        </w:rPr>
      </w:pPr>
    </w:p>
    <w:p w14:paraId="0AAB435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0566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89D6AC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9B3342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DD1B4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49BD2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9DDF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112E6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12CB7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BD518B">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CFB6DA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2E9965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7976FAA">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B6ED2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93B4BA3">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34CEA8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C1D5BF0">
      <w:pPr>
        <w:kinsoku/>
        <w:overflowPunct/>
        <w:topLinePunct w:val="0"/>
        <w:bidi w:val="0"/>
        <w:spacing w:line="360" w:lineRule="auto"/>
        <w:ind w:left="0" w:leftChars="0" w:right="0" w:rightChars="0" w:firstLine="562" w:firstLineChars="200"/>
        <w:jc w:val="left"/>
        <w:rPr>
          <w:rFonts w:hint="default" w:ascii="宋体" w:hAnsi="宋体" w:eastAsiaTheme="minorEastAsia"/>
          <w:b/>
          <w:color w:val="auto"/>
          <w:sz w:val="28"/>
          <w:lang w:val="en-US" w:eastAsia="zh-CN"/>
        </w:rPr>
      </w:pPr>
      <w:r>
        <w:rPr>
          <w:rFonts w:hint="eastAsia" w:ascii="宋体" w:hAnsi="宋体"/>
          <w:b/>
          <w:color w:val="auto"/>
          <w:sz w:val="28"/>
          <w:lang w:eastAsia="zh-CN"/>
        </w:rPr>
        <w:t>（</w:t>
      </w:r>
      <w:r>
        <w:rPr>
          <w:rFonts w:hint="eastAsia" w:ascii="宋体" w:hAnsi="宋体"/>
          <w:b/>
          <w:color w:val="auto"/>
          <w:sz w:val="28"/>
          <w:lang w:val="en-US" w:eastAsia="zh-CN"/>
        </w:rPr>
        <w:t>五</w:t>
      </w:r>
      <w:r>
        <w:rPr>
          <w:rFonts w:hint="eastAsia" w:ascii="宋体" w:hAnsi="宋体"/>
          <w:b/>
          <w:color w:val="auto"/>
          <w:sz w:val="28"/>
          <w:lang w:eastAsia="zh-CN"/>
        </w:rPr>
        <w:t>）</w:t>
      </w:r>
      <w:r>
        <w:rPr>
          <w:rFonts w:hint="eastAsia" w:ascii="宋体" w:hAnsi="宋体"/>
          <w:b/>
          <w:color w:val="auto"/>
          <w:sz w:val="28"/>
          <w:lang w:val="en-US" w:eastAsia="zh-CN"/>
        </w:rPr>
        <w:t>技术规格书</w:t>
      </w:r>
    </w:p>
    <w:p w14:paraId="51E2364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B396EF">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4F3E23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68158F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63323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4402D8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0F40D8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5E0E2607">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22633C5">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09CF8F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4A4C6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15B843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F756D06">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7E55A50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290E53F9">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345F5210">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0E0EE754">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7FAC16E">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1A21DD71">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4997B60C">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5F7FAD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p>
    <w:p w14:paraId="6A44F188">
      <w:pPr>
        <w:kinsoku/>
        <w:overflowPunct/>
        <w:topLinePunct w:val="0"/>
        <w:bidi w:val="0"/>
        <w:spacing w:line="360" w:lineRule="auto"/>
        <w:ind w:left="0" w:leftChars="0" w:right="0" w:rightChars="0" w:firstLine="562" w:firstLineChars="20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六</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3"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lang w:val="en-US" w:eastAsia="zh-CN"/>
        </w:rPr>
        <w:t>2026年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lang w:val="en-US" w:eastAsia="zh-CN"/>
        </w:rPr>
        <w:t>日</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7E087B8D">
      <w:pPr>
        <w:spacing w:line="360" w:lineRule="auto"/>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4、技术规格书作为本合同的附件及验收标准，具备同等法律效力。</w:t>
      </w:r>
      <w:bookmarkStart w:id="4" w:name="_GoBack"/>
      <w:bookmarkEnd w:id="4"/>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sz w:val="24"/>
          <w:szCs w:val="24"/>
          <w:lang w:val="en-US" w:eastAsia="zh-CN"/>
        </w:rPr>
        <w:t>5、</w:t>
      </w:r>
      <w:r>
        <w:rPr>
          <w:rFonts w:hint="eastAsia" w:ascii="黑体" w:hAnsi="黑体" w:eastAsia="黑体" w:cs="黑体"/>
          <w:color w:val="auto"/>
          <w:kern w:val="2"/>
          <w:sz w:val="24"/>
          <w:szCs w:val="24"/>
          <w:lang w:val="en-US" w:eastAsia="zh-CN" w:bidi="ar-SA"/>
        </w:rPr>
        <w:t>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4A02010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default" w:ascii="黑体" w:hAnsi="黑体" w:eastAsia="黑体" w:cs="黑体"/>
          <w:color w:val="auto"/>
          <w:sz w:val="24"/>
          <w:szCs w:val="24"/>
          <w:lang w:val="en-US" w:eastAsia="zh-CN"/>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3"/>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0BC3CC39">
      <w:pPr>
        <w:spacing w:line="360" w:lineRule="exact"/>
        <w:rPr>
          <w:rFonts w:hint="eastAsia" w:ascii="黑体" w:hAnsi="黑体" w:eastAsia="黑体" w:cs="宋体"/>
          <w:b/>
          <w:kern w:val="0"/>
          <w:sz w:val="28"/>
          <w:szCs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BDD4">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CAC75A5">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689A5">
    <w:pPr>
      <w:pStyle w:val="9"/>
      <w:framePr w:wrap="around" w:vAnchor="text" w:hAnchor="margin" w:xAlign="center" w:y="1"/>
      <w:rPr>
        <w:rStyle w:val="20"/>
      </w:rPr>
    </w:pPr>
    <w:r>
      <w:fldChar w:fldCharType="begin"/>
    </w:r>
    <w:r>
      <w:rPr>
        <w:rStyle w:val="20"/>
      </w:rPr>
      <w:instrText xml:space="preserve">PAGE  </w:instrText>
    </w:r>
    <w:r>
      <w:fldChar w:fldCharType="end"/>
    </w:r>
  </w:p>
  <w:p w14:paraId="10C014F1">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DE5EFA6F"/>
    <w:multiLevelType w:val="singleLevel"/>
    <w:tmpl w:val="DE5EFA6F"/>
    <w:lvl w:ilvl="0" w:tentative="0">
      <w:start w:val="2"/>
      <w:numFmt w:val="chineseCounting"/>
      <w:suff w:val="nothing"/>
      <w:lvlText w:val="%1、"/>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0E63C2"/>
    <w:rsid w:val="041E3808"/>
    <w:rsid w:val="043B2184"/>
    <w:rsid w:val="0475718F"/>
    <w:rsid w:val="0485137E"/>
    <w:rsid w:val="04C66C1A"/>
    <w:rsid w:val="04D1736D"/>
    <w:rsid w:val="05573D16"/>
    <w:rsid w:val="057443B4"/>
    <w:rsid w:val="05C017FD"/>
    <w:rsid w:val="0687687D"/>
    <w:rsid w:val="06F2489E"/>
    <w:rsid w:val="070268E6"/>
    <w:rsid w:val="07501427"/>
    <w:rsid w:val="076636BD"/>
    <w:rsid w:val="08E66490"/>
    <w:rsid w:val="094A00EB"/>
    <w:rsid w:val="094A52F2"/>
    <w:rsid w:val="094D7C7A"/>
    <w:rsid w:val="097507C7"/>
    <w:rsid w:val="097D22E2"/>
    <w:rsid w:val="09AD2157"/>
    <w:rsid w:val="0A3C4D43"/>
    <w:rsid w:val="0B6C6FDB"/>
    <w:rsid w:val="0C2D337D"/>
    <w:rsid w:val="0C5F0F6E"/>
    <w:rsid w:val="0D004BE0"/>
    <w:rsid w:val="0D6635DC"/>
    <w:rsid w:val="0EC51CF1"/>
    <w:rsid w:val="0F783207"/>
    <w:rsid w:val="0F797A29"/>
    <w:rsid w:val="0FA352D6"/>
    <w:rsid w:val="0FBB34F5"/>
    <w:rsid w:val="0FFD54BA"/>
    <w:rsid w:val="10525110"/>
    <w:rsid w:val="110E7C3C"/>
    <w:rsid w:val="117D68B3"/>
    <w:rsid w:val="120F5BA7"/>
    <w:rsid w:val="1235718D"/>
    <w:rsid w:val="128A3A09"/>
    <w:rsid w:val="12A6008B"/>
    <w:rsid w:val="12D009A7"/>
    <w:rsid w:val="13BF5D63"/>
    <w:rsid w:val="13C54541"/>
    <w:rsid w:val="14592936"/>
    <w:rsid w:val="14676D7E"/>
    <w:rsid w:val="15916DD0"/>
    <w:rsid w:val="16413351"/>
    <w:rsid w:val="164E090F"/>
    <w:rsid w:val="16937390"/>
    <w:rsid w:val="16F83C6D"/>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106F93"/>
    <w:rsid w:val="25CC5B88"/>
    <w:rsid w:val="25EA69AA"/>
    <w:rsid w:val="26933E36"/>
    <w:rsid w:val="26BC19A6"/>
    <w:rsid w:val="26D7141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D494CF1"/>
    <w:rsid w:val="2EC03E0B"/>
    <w:rsid w:val="2EE64169"/>
    <w:rsid w:val="300E355A"/>
    <w:rsid w:val="30337F16"/>
    <w:rsid w:val="30464A25"/>
    <w:rsid w:val="3082583C"/>
    <w:rsid w:val="30AA38EA"/>
    <w:rsid w:val="31A45B7D"/>
    <w:rsid w:val="31A5035D"/>
    <w:rsid w:val="33980AB1"/>
    <w:rsid w:val="344A7D4E"/>
    <w:rsid w:val="347D19AD"/>
    <w:rsid w:val="34C32719"/>
    <w:rsid w:val="34DF4182"/>
    <w:rsid w:val="34E44129"/>
    <w:rsid w:val="34E65643"/>
    <w:rsid w:val="3539753D"/>
    <w:rsid w:val="35771A99"/>
    <w:rsid w:val="361436EF"/>
    <w:rsid w:val="363D49D0"/>
    <w:rsid w:val="36481456"/>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1F0F0B"/>
    <w:rsid w:val="47F46EAE"/>
    <w:rsid w:val="48724017"/>
    <w:rsid w:val="48750F6C"/>
    <w:rsid w:val="492B4B3C"/>
    <w:rsid w:val="4A185620"/>
    <w:rsid w:val="4A6F4C2B"/>
    <w:rsid w:val="4A8B5684"/>
    <w:rsid w:val="4B964C95"/>
    <w:rsid w:val="4BBB0454"/>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152C97"/>
    <w:rsid w:val="5D2F2B1E"/>
    <w:rsid w:val="5DEF5A0F"/>
    <w:rsid w:val="5DF72B16"/>
    <w:rsid w:val="5EB75F23"/>
    <w:rsid w:val="5ECA3D86"/>
    <w:rsid w:val="5F4D50E3"/>
    <w:rsid w:val="60303C60"/>
    <w:rsid w:val="61E15FB7"/>
    <w:rsid w:val="622C60C9"/>
    <w:rsid w:val="626B0ACC"/>
    <w:rsid w:val="626F728B"/>
    <w:rsid w:val="62A42563"/>
    <w:rsid w:val="63210307"/>
    <w:rsid w:val="633B16F7"/>
    <w:rsid w:val="63613BBD"/>
    <w:rsid w:val="64132ACB"/>
    <w:rsid w:val="644F1AB3"/>
    <w:rsid w:val="65CA7906"/>
    <w:rsid w:val="661512EF"/>
    <w:rsid w:val="66A77D57"/>
    <w:rsid w:val="66C75014"/>
    <w:rsid w:val="672B6AD9"/>
    <w:rsid w:val="67CD5013"/>
    <w:rsid w:val="68E42148"/>
    <w:rsid w:val="68F9171A"/>
    <w:rsid w:val="68FF4D7A"/>
    <w:rsid w:val="693A47A3"/>
    <w:rsid w:val="69B61D6F"/>
    <w:rsid w:val="69C1618A"/>
    <w:rsid w:val="6AB2229E"/>
    <w:rsid w:val="6AFB2A69"/>
    <w:rsid w:val="6B3E4F40"/>
    <w:rsid w:val="6B4C26F3"/>
    <w:rsid w:val="6B73407C"/>
    <w:rsid w:val="6C465631"/>
    <w:rsid w:val="6C6400AB"/>
    <w:rsid w:val="6C8B590C"/>
    <w:rsid w:val="6D343A27"/>
    <w:rsid w:val="6DCF182B"/>
    <w:rsid w:val="6E7D601E"/>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4028</Words>
  <Characters>4309</Characters>
  <Lines>16</Lines>
  <Paragraphs>4</Paragraphs>
  <TotalTime>1</TotalTime>
  <ScaleCrop>false</ScaleCrop>
  <LinksUpToDate>false</LinksUpToDate>
  <CharactersWithSpaces>5208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2025-10-13T03:47:47Z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2052-12.1.0.22529</vt:lpwstr>
  </property>
  <property fmtid="{D5CDD505-2E9C-101B-9397-08002B2CF9AE}" pid="4" name="ICV">
    <vt:lpwstr>638278A91B6247A3A14F33886A0DB3EB_13</vt:lpwstr>
  </property>
</Properties>
</file>