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cs="黑体" w:asciiTheme="minorEastAsia" w:hAnsiTheme="minorEastAsia" w:eastAsiaTheme="minorEastAsia"/>
          <w:b/>
          <w:bCs/>
          <w:color w:val="auto"/>
          <w:sz w:val="48"/>
          <w:szCs w:val="48"/>
          <w:highlight w:val="none"/>
          <w:lang w:eastAsia="zh-CN"/>
        </w:rPr>
      </w:pP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 w:eastAsiaTheme="minorEastAsia"/>
          <w:color w:val="auto"/>
          <w:sz w:val="84"/>
          <w:szCs w:val="84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48"/>
          <w:szCs w:val="48"/>
          <w:highlight w:val="none"/>
          <w:lang w:val="en-US" w:eastAsia="zh-CN"/>
        </w:rPr>
        <w:t>什邡磷化工分公司一铵晶体运输采购</w:t>
      </w:r>
      <w:r>
        <w:rPr>
          <w:rFonts w:hint="eastAsia" w:ascii="宋体" w:hAnsi="宋体" w:eastAsia="宋体" w:cs="宋体"/>
          <w:b/>
          <w:bCs/>
          <w:color w:val="auto"/>
          <w:sz w:val="48"/>
          <w:szCs w:val="48"/>
          <w:highlight w:val="none"/>
          <w:lang w:eastAsia="zh-CN"/>
        </w:rPr>
        <w:t>服务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2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1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4C7901ED">
      <w:pPr>
        <w:pStyle w:val="2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编号：SFLHG-GKBX-2025-FW57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什邡磷化工分公司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9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22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3C2905FA">
      <w:pPr>
        <w:widowControl/>
        <w:shd w:val="clear" w:color="auto" w:fill="FFFFFF"/>
        <w:spacing w:line="400" w:lineRule="exact"/>
        <w:ind w:firstLine="371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什邡磷化工分公司一铵晶体运输采购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比选</w:t>
      </w: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文件</w:t>
      </w: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对一铵晶体运输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。欢迎贵公司前来报价，现将相关事项公告如下：</w:t>
      </w:r>
    </w:p>
    <w:p w14:paraId="44664067">
      <w:pPr>
        <w:pStyle w:val="2"/>
      </w:pPr>
    </w:p>
    <w:p w14:paraId="57E5E844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一、服务内容</w:t>
      </w:r>
    </w:p>
    <w:p w14:paraId="00BFF251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服务内容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一铵晶体运输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服务，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试用33吨，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后期在市场价格基础上，月采购量拟定为1000-2000吨区间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。</w:t>
      </w:r>
    </w:p>
    <w:p w14:paraId="5C889B1C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2.服务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地点：</w:t>
      </w:r>
    </w:p>
    <w:p w14:paraId="581AE631">
      <w:pPr>
        <w:spacing w:line="360" w:lineRule="exact"/>
        <w:ind w:firstLine="560" w:firstLineChars="200"/>
        <w:rPr>
          <w:rFonts w:hint="eastAsia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卸货地点：</w:t>
      </w:r>
      <w:r>
        <w:rPr>
          <w:rFonts w:hint="default" w:ascii="黑体" w:hAnsi="黑体" w:eastAsia="黑体" w:cs="宋体"/>
          <w:color w:val="auto"/>
          <w:kern w:val="0"/>
          <w:sz w:val="28"/>
          <w:szCs w:val="28"/>
          <w:lang w:eastAsia="zh-CN"/>
        </w:rPr>
        <w:t>四川省眉山市东坡区高新技术产业园区万华大道1号万华化学（四川）有限公司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二、比选人：四川宏达股份有限公司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磷化工分公司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  </w:t>
      </w:r>
    </w:p>
    <w:p w14:paraId="0C48047A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三、具体内容及要求：</w:t>
      </w:r>
    </w:p>
    <w:p w14:paraId="4BF66C18">
      <w:pPr>
        <w:spacing w:line="36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服务期限：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2025年9月。</w:t>
      </w:r>
    </w:p>
    <w:p w14:paraId="318C942C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eastAsia" w:ascii="黑体" w:hAnsi="黑体" w:eastAsia="黑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color w:val="auto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按照当月完成的运输数量下月结算，承运方提供方出具合法有效等额的货物运输业增值税专用发票，四川宏达股份有限公司入账后以银行汇兑支付。</w:t>
      </w:r>
    </w:p>
    <w:p w14:paraId="3914BA72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%)。</w:t>
      </w:r>
    </w:p>
    <w:p w14:paraId="6F201807">
      <w:pPr>
        <w:numPr>
          <w:ilvl w:val="0"/>
          <w:numId w:val="0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3.比选文件的获取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 xml:space="preserve">获取方式为：截至 2025年 9 月 27 日 14 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响应性文件的递交</w:t>
      </w:r>
    </w:p>
    <w:p w14:paraId="304D30D4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递交截止时间：2025年 9 月 27  日 14 时 00 分。</w:t>
      </w:r>
    </w:p>
    <w:p w14:paraId="5B16F60F">
      <w:pPr>
        <w:spacing w:line="420" w:lineRule="exact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人按本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注明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服务期限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所有上述资料组成响应性文件，比选人需将响应性文件打印盖章后，以电子文件方式（PDF、扫描文件等）上传至</w:t>
      </w: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。</w:t>
      </w:r>
    </w:p>
    <w:p w14:paraId="71C3185E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5.响应性文件的要求</w:t>
      </w:r>
    </w:p>
    <w:p w14:paraId="24A91674">
      <w:pPr>
        <w:spacing w:line="420" w:lineRule="exact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（一）服务商应具备有效营业执照；</w:t>
      </w:r>
    </w:p>
    <w:p w14:paraId="00B97A95">
      <w:pPr>
        <w:spacing w:line="420" w:lineRule="exact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（二）服务商具有较好的财务能力，在人员、设备、技术等方面具备相应的履约能力；</w:t>
      </w:r>
    </w:p>
    <w:p w14:paraId="779F5FC3">
      <w:pPr>
        <w:spacing w:line="420" w:lineRule="exact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（三）无违约及违法情况。</w:t>
      </w:r>
    </w:p>
    <w:p w14:paraId="3A351DE4">
      <w:pPr>
        <w:pStyle w:val="2"/>
        <w:rPr>
          <w:rFonts w:hint="default"/>
          <w:color w:val="auto"/>
          <w:lang w:val="en-US" w:eastAsia="zh-CN"/>
        </w:rPr>
      </w:pPr>
    </w:p>
    <w:p w14:paraId="54DDC833">
      <w:pPr>
        <w:spacing w:line="420" w:lineRule="exac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color w:val="auto"/>
          <w:sz w:val="28"/>
          <w:szCs w:val="28"/>
        </w:rPr>
        <w:t>比选时不保证最低价中选，但充分注意合理的最低报价。</w:t>
      </w:r>
    </w:p>
    <w:p w14:paraId="56674FAE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交送报价文件前，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比选申请人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可自愿前来我公司进行实地考查、技术交流或咨询。</w:t>
      </w:r>
    </w:p>
    <w:p w14:paraId="36129111">
      <w:pPr>
        <w:pStyle w:val="2"/>
        <w:rPr>
          <w:color w:val="auto"/>
        </w:rPr>
      </w:pPr>
    </w:p>
    <w:p w14:paraId="440F1485">
      <w:pPr>
        <w:spacing w:line="420" w:lineRule="exact"/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李女士</w:t>
      </w:r>
    </w:p>
    <w:p w14:paraId="3EE99BA5">
      <w:pPr>
        <w:pStyle w:val="2"/>
        <w:ind w:left="0" w:leftChars="0" w:firstLine="0" w:firstLineChars="0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联系方式：15509083970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0BEE090F">
      <w:pPr>
        <w:pStyle w:val="2"/>
        <w:ind w:left="0" w:leftChars="0" w:firstLine="0" w:firstLineChars="0"/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20636B28">
      <w:pPr>
        <w:pStyle w:val="2"/>
        <w:rPr>
          <w:color w:val="auto"/>
        </w:rPr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22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2331C79">
      <w:pPr>
        <w:pStyle w:val="50"/>
        <w:rPr>
          <w:rFonts w:hint="eastAsia"/>
          <w:color w:val="auto"/>
        </w:rPr>
      </w:pPr>
    </w:p>
    <w:p w14:paraId="77262E01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E4B15C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3F7DCF7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6A9AFAA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306DC8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955F225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375A086">
      <w:pPr>
        <w:pStyle w:val="2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68F34A1">
      <w:pPr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F327FAC">
      <w:pPr>
        <w:pStyle w:val="2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7FBB2D83">
      <w:pPr>
        <w:rPr>
          <w:rFonts w:hint="eastAsia"/>
        </w:rPr>
      </w:pPr>
    </w:p>
    <w:p w14:paraId="3073C517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7EDF4DE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44EDB6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***服务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color w:val="auto"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0" w:name="_Toc30198"/>
      <w:bookmarkStart w:id="1" w:name="_Toc4384"/>
      <w:bookmarkStart w:id="2" w:name="_Toc9978"/>
      <w:r>
        <w:rPr>
          <w:rFonts w:hint="eastAsia" w:cs="黑体" w:asciiTheme="minorEastAsia" w:hAnsiTheme="minorEastAsia" w:eastAsiaTheme="minorEastAsia"/>
          <w:b/>
          <w:bCs/>
          <w:color w:val="auto"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color w:val="auto"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color w:val="auto"/>
          <w:kern w:val="44"/>
          <w:sz w:val="28"/>
          <w:szCs w:val="28"/>
          <w:highlight w:val="none"/>
          <w:lang w:val="zh-CN"/>
        </w:rPr>
        <w:t>函</w:t>
      </w:r>
      <w:bookmarkEnd w:id="0"/>
      <w:bookmarkEnd w:id="1"/>
      <w:bookmarkEnd w:id="2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color w:val="auto"/>
          <w:szCs w:val="21"/>
          <w:highlight w:val="none"/>
        </w:rPr>
        <w:t>：</w:t>
      </w:r>
    </w:p>
    <w:p w14:paraId="7354C7EB">
      <w:pPr>
        <w:pStyle w:val="5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比选文件(包括补充通知的全部内容，愿意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以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人民币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大写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eastAsia="zh-CN"/>
        </w:rPr>
        <w:t>：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u w:val="single"/>
        </w:rPr>
        <w:t xml:space="preserve">          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</w:rPr>
        <w:t>元</w:t>
      </w:r>
      <w:r>
        <w:rPr>
          <w:rFonts w:ascii="宋体" w:hAnsi="宋体" w:eastAsia="宋体" w:cs="宋体"/>
          <w:color w:val="auto"/>
          <w:spacing w:val="-3"/>
          <w:highlight w:val="none"/>
        </w:rPr>
        <w:t>（¥</w:t>
      </w:r>
      <w:r>
        <w:rPr>
          <w:rFonts w:hint="eastAsia" w:ascii="宋体" w:hAnsi="宋体" w:eastAsia="宋体" w:cs="宋体"/>
          <w:color w:val="auto"/>
          <w:spacing w:val="-3"/>
          <w:highlight w:val="none"/>
          <w:u w:val="none"/>
          <w:lang w:eastAsia="zh-CN"/>
        </w:rPr>
        <w:t>：</w:t>
      </w:r>
      <w:r>
        <w:rPr>
          <w:rFonts w:ascii="宋体" w:hAnsi="宋体" w:eastAsia="宋体" w:cs="宋体"/>
          <w:color w:val="auto"/>
          <w:spacing w:val="-3"/>
          <w:highlight w:val="none"/>
          <w:u w:val="single"/>
        </w:rPr>
        <w:tab/>
      </w:r>
      <w:r>
        <w:rPr>
          <w:rFonts w:ascii="宋体" w:hAnsi="宋体" w:eastAsia="宋体" w:cs="宋体"/>
          <w:color w:val="auto"/>
          <w:spacing w:val="-3"/>
          <w:highlight w:val="none"/>
          <w:u w:val="single"/>
        </w:rPr>
        <w:t xml:space="preserve">            </w:t>
      </w:r>
      <w:r>
        <w:rPr>
          <w:rFonts w:ascii="宋体" w:hAnsi="宋体" w:eastAsia="宋体" w:cs="宋体"/>
          <w:color w:val="auto"/>
          <w:spacing w:val="-3"/>
          <w:highlight w:val="none"/>
        </w:rPr>
        <w:t>元</w:t>
      </w:r>
      <w:r>
        <w:rPr>
          <w:rFonts w:ascii="宋体" w:hAnsi="宋体" w:eastAsia="宋体" w:cs="宋体"/>
          <w:color w:val="auto"/>
          <w:spacing w:val="-13"/>
          <w:highlight w:val="none"/>
        </w:rPr>
        <w:t>）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/>
          <w:bCs/>
          <w:color w:val="auto"/>
          <w:highlight w:val="none"/>
          <w:lang w:val="en-US" w:eastAsia="zh-CN"/>
        </w:rPr>
        <w:t>其中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增值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税税率为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%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的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比选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总</w:t>
      </w:r>
      <w:r>
        <w:rPr>
          <w:rFonts w:hint="eastAsia" w:asciiTheme="minorEastAsia" w:hAnsiTheme="minorEastAsia" w:eastAsiaTheme="minorEastAsia"/>
          <w:color w:val="auto"/>
          <w:highlight w:val="none"/>
          <w:lang w:eastAsia="zh-CN"/>
        </w:rPr>
        <w:t>报价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交货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期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限：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，按比选文件规定的条件和要求承担合同规定的全部工作，并承担相关的责任，质量</w:t>
      </w:r>
      <w:r>
        <w:rPr>
          <w:rFonts w:hint="eastAsia" w:asciiTheme="minorEastAsia" w:hAnsiTheme="minorEastAsia"/>
          <w:color w:val="auto"/>
          <w:highlight w:val="none"/>
          <w:lang w:val="en-US" w:eastAsia="zh-CN"/>
        </w:rPr>
        <w:t>验收</w:t>
      </w:r>
      <w:r>
        <w:rPr>
          <w:rFonts w:hint="eastAsia" w:asciiTheme="minorEastAsia" w:hAnsiTheme="minorEastAsia" w:eastAsiaTheme="minorEastAsia"/>
          <w:color w:val="auto"/>
          <w:highlight w:val="none"/>
          <w:lang w:val="en-US" w:eastAsia="zh-CN"/>
        </w:rPr>
        <w:t>标准：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。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3、如我方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）在合同约定的期限内完成合同规定的全部义务。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（其他补充说明）。</w:t>
      </w:r>
    </w:p>
    <w:p w14:paraId="3671B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 xml:space="preserve">                              </w:t>
      </w:r>
    </w:p>
    <w:p w14:paraId="7FF0C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highlight w:val="none"/>
        </w:rPr>
        <w:t>日</w:t>
      </w:r>
    </w:p>
    <w:p w14:paraId="01C32111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1C2AABFA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09F551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54E30676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29DB1B23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70A0F83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0F7017DE">
      <w:pPr>
        <w:kinsoku/>
        <w:overflowPunct/>
        <w:topLinePunct w:val="0"/>
        <w:bidi w:val="0"/>
        <w:ind w:left="0" w:leftChars="0" w:right="0" w:rightChars="0" w:firstLine="562" w:firstLineChars="20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79E6E945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二</w:t>
      </w:r>
      <w:r>
        <w:rPr>
          <w:rFonts w:hint="eastAsia" w:ascii="宋体" w:hAnsi="宋体" w:eastAsia="宋体"/>
          <w:b/>
          <w:color w:val="auto"/>
        </w:rPr>
        <w:t>、报价表</w:t>
      </w:r>
    </w:p>
    <w:p w14:paraId="15414075">
      <w:pPr>
        <w:pStyle w:val="2"/>
        <w:kinsoku/>
        <w:overflowPunct/>
        <w:topLinePunct w:val="0"/>
        <w:bidi w:val="0"/>
        <w:spacing w:line="360" w:lineRule="auto"/>
        <w:ind w:left="0" w:leftChars="0" w:right="0" w:rightChars="0" w:firstLine="400" w:firstLineChars="20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7"/>
        <w:tblW w:w="940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1120"/>
        <w:gridCol w:w="2354"/>
        <w:gridCol w:w="1430"/>
        <w:gridCol w:w="2181"/>
        <w:gridCol w:w="1431"/>
      </w:tblGrid>
      <w:tr w14:paraId="0A5E3B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88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1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2354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E1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投标报价</w:t>
            </w:r>
          </w:p>
        </w:tc>
        <w:tc>
          <w:tcPr>
            <w:tcW w:w="1431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A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6DCD3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88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1C7F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5F117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3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F913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00A7B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73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431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2FA6FB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  <w:tr w14:paraId="107303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88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一铵晶体运输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/>
                <w:color w:val="auto"/>
                <w:lang w:val="en-US" w:eastAsia="zh-CN"/>
              </w:rPr>
              <w:t>四川省什邡市洛水镇四川宏达股份有限公司至</w:t>
            </w:r>
            <w:r>
              <w:rPr>
                <w:rFonts w:hint="default"/>
                <w:color w:val="auto"/>
                <w:lang w:val="en-US" w:eastAsia="zh-CN"/>
              </w:rPr>
              <w:t>四川省眉山市东坡区高新技术产业园区万华大道1号万华化学（四川）有限公司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557AC160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</w:p>
    <w:p w14:paraId="48FD1DBF">
      <w:pPr>
        <w:tabs>
          <w:tab w:val="left" w:pos="85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                     </w:t>
      </w:r>
    </w:p>
    <w:p w14:paraId="303BD21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582E7211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</w:t>
      </w:r>
    </w:p>
    <w:p w14:paraId="11A5ACF6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70BF42B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联系方式</w:t>
      </w:r>
      <w:bookmarkStart w:id="3" w:name="_GoBack"/>
      <w:bookmarkEnd w:id="3"/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3E454479">
      <w:pPr>
        <w:pStyle w:val="36"/>
        <w:spacing w:before="120" w:line="480" w:lineRule="exact"/>
        <w:rPr>
          <w:rFonts w:hint="eastAsia"/>
          <w:color w:val="auto"/>
          <w:kern w:val="0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</w:rPr>
        <w:t xml:space="preserve">                                           </w:t>
      </w:r>
    </w:p>
    <w:p w14:paraId="69780875">
      <w:pPr>
        <w:widowControl/>
        <w:kinsoku/>
        <w:overflowPunct/>
        <w:topLinePunct w:val="0"/>
        <w:bidi w:val="0"/>
        <w:spacing w:line="360" w:lineRule="auto"/>
        <w:ind w:right="0" w:rightChars="0"/>
        <w:rPr>
          <w:rFonts w:hint="eastAsia"/>
          <w:color w:val="auto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服务内容</w:t>
      </w:r>
      <w:r>
        <w:rPr>
          <w:rFonts w:hint="eastAsia" w:ascii="宋体" w:hAnsi="宋体"/>
          <w:color w:val="auto"/>
        </w:rPr>
        <w:t>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2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45E8863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6F89609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2316C6D9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212517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2F5937"/>
    <w:rsid w:val="177C482D"/>
    <w:rsid w:val="187156EC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5A72A6"/>
    <w:rsid w:val="2A7A0382"/>
    <w:rsid w:val="2A9A281E"/>
    <w:rsid w:val="2AAB5DE7"/>
    <w:rsid w:val="2AC075D6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23E55F6"/>
    <w:rsid w:val="33980AB1"/>
    <w:rsid w:val="344A7D4E"/>
    <w:rsid w:val="347D19AD"/>
    <w:rsid w:val="34C32719"/>
    <w:rsid w:val="34E65643"/>
    <w:rsid w:val="3539753D"/>
    <w:rsid w:val="35771A99"/>
    <w:rsid w:val="361436EF"/>
    <w:rsid w:val="363D49D0"/>
    <w:rsid w:val="36481456"/>
    <w:rsid w:val="371A057C"/>
    <w:rsid w:val="37296A11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F213F33"/>
    <w:rsid w:val="3FE536F1"/>
    <w:rsid w:val="40083152"/>
    <w:rsid w:val="40085CD0"/>
    <w:rsid w:val="4041301D"/>
    <w:rsid w:val="42587944"/>
    <w:rsid w:val="42932E0A"/>
    <w:rsid w:val="43243278"/>
    <w:rsid w:val="435B56FC"/>
    <w:rsid w:val="43884ABF"/>
    <w:rsid w:val="44A00219"/>
    <w:rsid w:val="45367494"/>
    <w:rsid w:val="453D1A14"/>
    <w:rsid w:val="456059BE"/>
    <w:rsid w:val="45877724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BE4F5F"/>
    <w:rsid w:val="55E22755"/>
    <w:rsid w:val="57193C9E"/>
    <w:rsid w:val="57541431"/>
    <w:rsid w:val="576C2775"/>
    <w:rsid w:val="586048F0"/>
    <w:rsid w:val="588549CE"/>
    <w:rsid w:val="58AE7DA1"/>
    <w:rsid w:val="58DD7D9A"/>
    <w:rsid w:val="59AD4E28"/>
    <w:rsid w:val="5B1D65E8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4132ACB"/>
    <w:rsid w:val="661512EF"/>
    <w:rsid w:val="66A77D57"/>
    <w:rsid w:val="66C75014"/>
    <w:rsid w:val="66CA51E5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178277E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66653C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4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Indent"/>
    <w:basedOn w:val="1"/>
    <w:next w:val="2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2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1809</Words>
  <Characters>1939</Characters>
  <Lines>16</Lines>
  <Paragraphs>4</Paragraphs>
  <TotalTime>34</TotalTime>
  <ScaleCrop>false</ScaleCrop>
  <LinksUpToDate>false</LinksUpToDate>
  <CharactersWithSpaces>2864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</cp:lastModifiedBy>
  <dcterms:modified xsi:type="dcterms:W3CDTF">2025-09-22T05:51:32Z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eyJoZGlkIjoiMWNjYThlNGIzMmUzYjI4YTdlYzA5NWVmYjQyOTlhMWEiLCJ1c2VySWQiOiI5MTUyNzQyMDQifQ==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638278A91B6247A3A14F33886A0DB3EB_13</vt:lpwstr>
  </property>
</Properties>
</file>