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什邡磷化工分公司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48"/>
          <w:szCs w:val="48"/>
          <w:lang w:val="en-US" w:eastAsia="zh-CN"/>
        </w:rPr>
        <w:t>尼龙托辊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编号：SFLHG-GKBX-2025-HW52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16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什邡磷化工分公司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尼龙托辊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编号：SFLHG-GKBX-2025-HW52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尼龙托辊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尼龙托辊采购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尼龙托辊600根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690"/>
        <w:gridCol w:w="2020"/>
        <w:gridCol w:w="1740"/>
        <w:gridCol w:w="3446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7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90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020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40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数量（根）</w:t>
            </w:r>
          </w:p>
        </w:tc>
        <w:tc>
          <w:tcPr>
            <w:tcW w:w="3446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</w:tr>
      <w:tr w14:paraId="1041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 w14:paraId="461369D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vAlign w:val="center"/>
          </w:tcPr>
          <w:p w14:paraId="4DBBD2D2">
            <w:pPr>
              <w:spacing w:line="360" w:lineRule="exact"/>
              <w:jc w:val="center"/>
              <w:rPr>
                <w:rFonts w:hint="default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尼龙托辊</w:t>
            </w:r>
          </w:p>
        </w:tc>
        <w:tc>
          <w:tcPr>
            <w:tcW w:w="2020" w:type="dxa"/>
            <w:vAlign w:val="center"/>
          </w:tcPr>
          <w:p w14:paraId="0CE9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Ф108*375</w:t>
            </w:r>
          </w:p>
        </w:tc>
        <w:tc>
          <w:tcPr>
            <w:tcW w:w="1740" w:type="dxa"/>
            <w:vAlign w:val="center"/>
          </w:tcPr>
          <w:p w14:paraId="131DD241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3446" w:type="dxa"/>
            <w:vMerge w:val="restart"/>
            <w:vAlign w:val="center"/>
          </w:tcPr>
          <w:p w14:paraId="6BC9D697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1、托轮材质：PA66；托轮轴材质：碳钢 2.密封要求：一体式三节制迷宫式双密封防尘装置；3.轴承要求：哈瓦洛三大品牌轴承。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90" w:type="dxa"/>
            <w:vAlign w:val="center"/>
          </w:tcPr>
          <w:p w14:paraId="5E90A654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尼龙托辊</w:t>
            </w:r>
          </w:p>
        </w:tc>
        <w:tc>
          <w:tcPr>
            <w:tcW w:w="2020" w:type="dxa"/>
            <w:vAlign w:val="center"/>
          </w:tcPr>
          <w:p w14:paraId="762C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Ф108*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740" w:type="dxa"/>
            <w:vAlign w:val="center"/>
          </w:tcPr>
          <w:p w14:paraId="702B135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3446" w:type="dxa"/>
            <w:vMerge w:val="continue"/>
            <w:vAlign w:val="center"/>
          </w:tcPr>
          <w:p w14:paraId="1597C12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74F6158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9月25日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38552273"/>
      <w:bookmarkStart w:id="4" w:name="_Toc274236999"/>
      <w:bookmarkStart w:id="5" w:name="_Toc274596702"/>
      <w:bookmarkStart w:id="6" w:name="_Toc16684"/>
      <w:bookmarkStart w:id="7" w:name="_Toc268793030"/>
      <w:bookmarkStart w:id="8" w:name="_Toc275014947"/>
      <w:bookmarkStart w:id="9" w:name="_Toc275019684"/>
      <w:bookmarkStart w:id="10" w:name="_Toc275019836"/>
      <w:bookmarkStart w:id="11" w:name="_Toc318986166"/>
      <w:bookmarkStart w:id="12" w:name="_Toc269113527"/>
      <w:bookmarkStart w:id="13" w:name="_Toc303149804"/>
      <w:bookmarkStart w:id="14" w:name="_Toc238797630"/>
      <w:bookmarkStart w:id="15" w:name="_Toc275019290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A86FEC5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7DAEAE83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694D0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D354E6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047481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02ADF07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332356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2CA611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E02DEF4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0" w:name="_GoBack"/>
      <w:bookmarkEnd w:id="20"/>
    </w:p>
    <w:p w14:paraId="1B0FBBCF">
      <w:pPr>
        <w:ind w:firstLine="4337" w:firstLineChars="1200"/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</w:p>
    <w:p w14:paraId="151C3386">
      <w:pPr>
        <w:jc w:val="center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2"/>
    <w:p w14:paraId="0F271F21">
      <w:pPr>
        <w:spacing w:line="440" w:lineRule="exact"/>
        <w:ind w:firstLine="3570" w:firstLineChars="1700"/>
        <w:rPr>
          <w:rFonts w:hint="eastAsia" w:ascii="宋体" w:hAnsi="宋体"/>
          <w:color w:val="FF0000"/>
          <w:kern w:val="0"/>
          <w:szCs w:val="21"/>
          <w:lang w:val="en-US" w:eastAsia="zh-CN"/>
        </w:rPr>
      </w:pPr>
    </w:p>
    <w:p w14:paraId="1A53D4AD">
      <w:pPr>
        <w:spacing w:line="440" w:lineRule="exact"/>
        <w:ind w:firstLine="3780" w:firstLineChars="18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210AD070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5972252A">
      <w:pPr>
        <w:spacing w:line="36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合同编号：GY-2025-</w:t>
      </w:r>
    </w:p>
    <w:p w14:paraId="484E33DA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买方：四川宏达股份有限公司</w:t>
      </w:r>
    </w:p>
    <w:p w14:paraId="35F5BD5C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卖方：</w:t>
      </w:r>
    </w:p>
    <w:p w14:paraId="2C37800E">
      <w:pPr>
        <w:spacing w:line="38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买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>尼龙托辊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事宜达成本合同，具体内容如下：</w:t>
      </w:r>
    </w:p>
    <w:p w14:paraId="3F66416D">
      <w:pPr>
        <w:pStyle w:val="49"/>
        <w:numPr>
          <w:ilvl w:val="0"/>
          <w:numId w:val="2"/>
        </w:numPr>
        <w:spacing w:line="380" w:lineRule="exact"/>
        <w:ind w:firstLineChars="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标的物基本信息</w:t>
      </w:r>
    </w:p>
    <w:tbl>
      <w:tblPr>
        <w:tblStyle w:val="18"/>
        <w:tblW w:w="10116" w:type="dxa"/>
        <w:tblInd w:w="-2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36"/>
        <w:gridCol w:w="852"/>
        <w:gridCol w:w="780"/>
        <w:gridCol w:w="1176"/>
        <w:gridCol w:w="912"/>
        <w:gridCol w:w="1032"/>
        <w:gridCol w:w="1308"/>
        <w:gridCol w:w="1596"/>
      </w:tblGrid>
      <w:tr w14:paraId="15E86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87A6CC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05130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FAEE88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计量</w:t>
            </w:r>
          </w:p>
          <w:p w14:paraId="35C7BAA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6CB83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8B8B1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到厂单价（元）</w:t>
            </w: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332A6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税率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49C490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税额（元）</w:t>
            </w: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03CD20A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不含税金额（元）</w:t>
            </w: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C714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含税金额（元）</w:t>
            </w:r>
          </w:p>
        </w:tc>
      </w:tr>
      <w:tr w14:paraId="232DDA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BC37EA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尼龙托辊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54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Ф108*375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9219EC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06E61A4">
            <w:pPr>
              <w:pStyle w:val="49"/>
              <w:spacing w:line="380" w:lineRule="exact"/>
              <w:ind w:firstLine="0" w:firstLineChars="0"/>
              <w:jc w:val="center"/>
              <w:rPr>
                <w:rFonts w:hint="default" w:cs="黑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CE9C96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F10619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BD7DED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9F3D795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C0D8D6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  <w:tr w14:paraId="05BAA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4F00CC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尼龙托辊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Ф108*1150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971C82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286000">
            <w:pPr>
              <w:pStyle w:val="49"/>
              <w:spacing w:line="380" w:lineRule="exact"/>
              <w:ind w:firstLine="0" w:firstLineChars="0"/>
              <w:jc w:val="center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CA214F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10F42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D17EA5E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EB3456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D81A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  <w:tr w14:paraId="339FE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16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36EA0">
            <w:pPr>
              <w:pStyle w:val="12"/>
              <w:shd w:val="clear" w:color="auto" w:fill="FFFFFF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color w:val="000000"/>
                <w:sz w:val="24"/>
                <w:szCs w:val="24"/>
              </w:rPr>
              <w:t>合计人民币总金额（大写）：        元。该价款系卖方履行本合同项下的所有内容而能获得的全部价款，包括货款、税金等，除此之外，不做任何调整，如有遗漏，均视为卖方的自愿让利行为。</w:t>
            </w:r>
          </w:p>
        </w:tc>
      </w:tr>
    </w:tbl>
    <w:p w14:paraId="150EB9E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16" w:name="OLE_LINK5"/>
      <w:r>
        <w:rPr>
          <w:rFonts w:hint="eastAsia" w:cs="黑体" w:asciiTheme="minorEastAsia" w:hAnsiTheme="minorEastAsia"/>
          <w:color w:val="000000"/>
          <w:sz w:val="24"/>
          <w:szCs w:val="24"/>
        </w:rPr>
        <w:t>第二条 质量标准及要求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1、质量要求：执行国家现行法律法规及行业相关标准，且满足买方使用要求。</w:t>
      </w:r>
    </w:p>
    <w:p w14:paraId="6CF800F4">
      <w:pPr>
        <w:spacing w:line="420" w:lineRule="exact"/>
        <w:rPr>
          <w:rFonts w:ascii="黑体" w:hAnsi="黑体" w:eastAsia="黑体" w:cs="黑体"/>
          <w:sz w:val="24"/>
          <w:szCs w:val="24"/>
          <w:shd w:val="clear" w:color="auto" w:fill="FAFAFA"/>
        </w:rPr>
      </w:pPr>
      <w:r>
        <w:rPr>
          <w:rFonts w:cs="黑体" w:asciiTheme="minorEastAsia" w:hAnsiTheme="minorEastAsia"/>
          <w:color w:val="000000"/>
          <w:sz w:val="24"/>
          <w:szCs w:val="24"/>
        </w:rPr>
        <w:t>2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、产品质量实行质保期内“三包”，质保期1年。质保期自货物验收合格之日起开始计算或货到验收合格30个自然日之日起开始计算（因买方原因未安装使用）。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第三条 交货地点、交货方式及交货时间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1.交货地点：买方什邡磷化工分公司指定地点（四川省什邡市洛水镇）。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2.交货方式：卖方负责送货到交货地点。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3.交货时间：合同生效之日之日起  个自然日内。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第四条 运输方式、包装要求、费用承担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1.运输方式：汽车运输。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第五条 标的物验收及异议处理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异议处置：如卖方对买方验收结果有异议，应于收到买方通知之日起五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第六条 付款方式及发票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1.付款方式：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2.发票：一票制，卖方开具全额增值税专用发票（税率13%）。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第七条 违约责任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必须按合同约定，提前或按时交付标的物。否则，每逾期一天，卖方按合同总金额的1%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第八条 争议解决方式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第九条 合同有效期限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本合同有效期自2025年月日起至2026年月日止。合同有效期限届满本合同自动终止，若双方有意向继续合作的，由双方协商一致另行签订书面合同。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第十条 合同生效及份数                     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本合同自买卖双方加盖合同专用章或公章后生效。本合同一式肆份，买卖双方各执贰份，具有同等法律效力。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第十一条 其它约定事项</w:t>
      </w:r>
    </w:p>
    <w:p w14:paraId="0FC5043C">
      <w:pPr>
        <w:spacing w:line="38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质量问题处理：质保期内，经双方代表现场检查并确认是产品质量问题，卖方无条件予以更换或退货，更换或退货所产生的所有费用，由卖方全额承担；如买方选择退货处理的，卖方须在买方发出退货通知后7个自然日内全额退还买方已付款项，买卖双方签订产品质量问题处理协议书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（以下无正文）</w:t>
      </w:r>
      <w:bookmarkEnd w:id="16"/>
    </w:p>
    <w:tbl>
      <w:tblPr>
        <w:tblStyle w:val="17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261"/>
      </w:tblGrid>
      <w:tr w14:paraId="612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4C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3C7F4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卖方（盖章）：</w:t>
            </w:r>
          </w:p>
        </w:tc>
      </w:tr>
      <w:tr w14:paraId="59E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4DEF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C73069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>：</w:t>
            </w:r>
          </w:p>
        </w:tc>
      </w:tr>
      <w:tr w14:paraId="74A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52A">
            <w:pPr>
              <w:spacing w:line="380" w:lineRule="exact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 xml:space="preserve"> 13508001166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092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322E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06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B145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</w:t>
            </w:r>
          </w:p>
        </w:tc>
      </w:tr>
      <w:tr w14:paraId="5503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A4D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23E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</w:t>
            </w:r>
          </w:p>
        </w:tc>
      </w:tr>
      <w:tr w14:paraId="52EC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30B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帐号：121203636202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7B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</w:t>
            </w:r>
          </w:p>
        </w:tc>
      </w:tr>
      <w:tr w14:paraId="0C5C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88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FBF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税号:</w:t>
            </w:r>
          </w:p>
        </w:tc>
      </w:tr>
      <w:tr w14:paraId="4797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048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签订地点：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9E3E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签订日期：</w:t>
            </w:r>
          </w:p>
        </w:tc>
      </w:tr>
    </w:tbl>
    <w:p w14:paraId="52562799">
      <w:pPr>
        <w:spacing w:line="380" w:lineRule="exact"/>
        <w:rPr>
          <w:rFonts w:cs="黑体" w:asciiTheme="minorEastAsia" w:hAnsiTheme="minorEastAsia"/>
          <w:sz w:val="24"/>
          <w:szCs w:val="24"/>
        </w:rPr>
      </w:pPr>
    </w:p>
    <w:p w14:paraId="744370AA">
      <w:pPr>
        <w:pStyle w:val="35"/>
        <w:spacing w:line="380" w:lineRule="exact"/>
        <w:ind w:firstLine="0" w:firstLineChars="0"/>
        <w:rPr>
          <w:rFonts w:cs="黑体" w:asciiTheme="minorEastAsia" w:hAnsiTheme="minorEastAsia"/>
          <w:sz w:val="24"/>
          <w:szCs w:val="24"/>
        </w:rPr>
      </w:pPr>
    </w:p>
    <w:p w14:paraId="5DF0C180">
      <w:pPr>
        <w:pStyle w:val="35"/>
        <w:ind w:firstLine="0" w:firstLineChars="0"/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黑体" w:hAnsi="宋体" w:eastAsia="黑体"/>
          <w:color w:val="auto"/>
          <w:sz w:val="36"/>
          <w:szCs w:val="36"/>
          <w:lang w:val="en-US" w:eastAsia="zh-CN"/>
        </w:rPr>
        <w:t xml:space="preserve"> 第三章 </w:t>
      </w:r>
    </w:p>
    <w:p w14:paraId="711C438E">
      <w:pPr>
        <w:kinsoku/>
        <w:overflowPunct/>
        <w:topLinePunct w:val="0"/>
        <w:bidi w:val="0"/>
        <w:ind w:right="0" w:rightChars="0" w:firstLine="3600" w:firstLineChars="1000"/>
        <w:jc w:val="both"/>
        <w:rPr>
          <w:rFonts w:hint="eastAsia" w:ascii="黑体" w:hAnsi="宋体" w:eastAsia="黑体"/>
          <w:color w:val="auto"/>
          <w:sz w:val="36"/>
          <w:szCs w:val="36"/>
          <w:lang w:val="zh-CN"/>
        </w:rPr>
      </w:pPr>
      <w:r>
        <w:rPr>
          <w:rFonts w:hint="eastAsia" w:ascii="黑体" w:hAnsi="宋体" w:eastAsia="黑体"/>
          <w:color w:val="auto"/>
          <w:sz w:val="36"/>
          <w:szCs w:val="36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6"/>
          <w:szCs w:val="36"/>
          <w:lang w:val="zh-CN"/>
        </w:rPr>
        <w:t>文件格式</w:t>
      </w:r>
    </w:p>
    <w:p w14:paraId="2173686E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3600" w:firstLineChars="1000"/>
        <w:jc w:val="left"/>
        <w:textAlignment w:val="bottom"/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3600" w:firstLineChars="1000"/>
        <w:jc w:val="left"/>
        <w:textAlignment w:val="bottom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尼龙托辊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72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36"/>
          <w:szCs w:val="36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30198"/>
      <w:bookmarkStart w:id="18" w:name="_Toc9978"/>
      <w:bookmarkStart w:id="19" w:name="_Toc4384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37"/>
        <w:gridCol w:w="1650"/>
        <w:gridCol w:w="1100"/>
        <w:gridCol w:w="1440"/>
        <w:gridCol w:w="1480"/>
        <w:gridCol w:w="1400"/>
      </w:tblGrid>
      <w:tr w14:paraId="4F20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0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7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50" w:type="dxa"/>
            <w:vAlign w:val="center"/>
          </w:tcPr>
          <w:p w14:paraId="2197863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00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数量（根）</w:t>
            </w:r>
          </w:p>
        </w:tc>
        <w:tc>
          <w:tcPr>
            <w:tcW w:w="1440" w:type="dxa"/>
            <w:vAlign w:val="center"/>
          </w:tcPr>
          <w:p w14:paraId="0A54618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重量  （kg/根）</w:t>
            </w:r>
          </w:p>
        </w:tc>
        <w:tc>
          <w:tcPr>
            <w:tcW w:w="1480" w:type="dxa"/>
            <w:vAlign w:val="center"/>
          </w:tcPr>
          <w:p w14:paraId="66F4A88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含税报价（元/根）</w:t>
            </w:r>
          </w:p>
        </w:tc>
        <w:tc>
          <w:tcPr>
            <w:tcW w:w="1400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含税总报价（元）</w:t>
            </w:r>
          </w:p>
        </w:tc>
      </w:tr>
      <w:tr w14:paraId="7CB2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6156617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7" w:type="dxa"/>
            <w:vAlign w:val="center"/>
          </w:tcPr>
          <w:p w14:paraId="73B0E67E">
            <w:pPr>
              <w:spacing w:line="360" w:lineRule="exact"/>
              <w:jc w:val="center"/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尼龙托辊</w:t>
            </w:r>
          </w:p>
        </w:tc>
        <w:tc>
          <w:tcPr>
            <w:tcW w:w="1650" w:type="dxa"/>
            <w:vAlign w:val="center"/>
          </w:tcPr>
          <w:p w14:paraId="5D6C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Ф108*375</w:t>
            </w:r>
          </w:p>
        </w:tc>
        <w:tc>
          <w:tcPr>
            <w:tcW w:w="1100" w:type="dxa"/>
            <w:vAlign w:val="center"/>
          </w:tcPr>
          <w:p w14:paraId="23451ACD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440" w:type="dxa"/>
            <w:vAlign w:val="center"/>
          </w:tcPr>
          <w:p w14:paraId="00EB3077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39636E3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2C3B39B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24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37" w:type="dxa"/>
            <w:vAlign w:val="center"/>
          </w:tcPr>
          <w:p w14:paraId="569C3192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尼龙托辊</w:t>
            </w:r>
          </w:p>
        </w:tc>
        <w:tc>
          <w:tcPr>
            <w:tcW w:w="1650" w:type="dxa"/>
            <w:vAlign w:val="center"/>
          </w:tcPr>
          <w:p w14:paraId="572D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Ф108*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100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440" w:type="dxa"/>
            <w:vAlign w:val="center"/>
          </w:tcPr>
          <w:p w14:paraId="2EE5FE0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77DBA44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189E910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</w:p>
    <w:p w14:paraId="16C869E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费、包装费、装车费、运费、保险费、税金等。</w:t>
      </w:r>
      <w:r>
        <w:rPr>
          <w:rFonts w:hint="eastAsia"/>
          <w:color w:val="auto"/>
          <w:sz w:val="24"/>
          <w:szCs w:val="24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   </w:t>
      </w:r>
    </w:p>
    <w:p w14:paraId="6DC6B7AC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96E0291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6931BE7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4B7D4A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8106B39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DAA204F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4AB7F7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7A484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3E180D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9FE248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849</Words>
  <Characters>980</Characters>
  <Lines>16</Lines>
  <Paragraphs>4</Paragraphs>
  <TotalTime>63</TotalTime>
  <ScaleCrop>false</ScaleCrop>
  <LinksUpToDate>false</LinksUpToDate>
  <CharactersWithSpaces>1044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2025-09-18T01:48:00Z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