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color w:val="auto"/>
          <w:sz w:val="48"/>
          <w:szCs w:val="48"/>
          <w:highlight w:val="none"/>
          <w:lang w:eastAsia="zh-CN"/>
        </w:rPr>
      </w:pPr>
    </w:p>
    <w:p w14:paraId="3E5A19FE">
      <w:pPr>
        <w:autoSpaceDE w:val="0"/>
        <w:autoSpaceDN w:val="0"/>
        <w:adjustRightInd w:val="0"/>
        <w:spacing w:before="100" w:after="100"/>
        <w:jc w:val="center"/>
        <w:rPr>
          <w:rFonts w:cs="黑体" w:asciiTheme="minorEastAsia" w:hAnsiTheme="minorEastAsia" w:eastAsiaTheme="minorEastAsia"/>
          <w:color w:val="auto"/>
          <w:sz w:val="84"/>
          <w:szCs w:val="84"/>
          <w:highlight w:val="none"/>
          <w:lang w:val="zh-CN"/>
        </w:rPr>
      </w:pPr>
      <w:r>
        <w:rPr>
          <w:rFonts w:hint="eastAsia" w:ascii="宋体" w:hAnsi="宋体" w:cs="宋体"/>
          <w:b/>
          <w:bCs/>
          <w:color w:val="auto"/>
          <w:sz w:val="48"/>
          <w:szCs w:val="48"/>
          <w:highlight w:val="none"/>
          <w:lang w:val="en-US" w:eastAsia="zh-CN"/>
        </w:rPr>
        <w:t>磷化工分公司磷石膏运输采购</w:t>
      </w:r>
      <w:r>
        <w:rPr>
          <w:rFonts w:hint="eastAsia" w:ascii="宋体" w:hAnsi="宋体" w:eastAsia="宋体" w:cs="宋体"/>
          <w:b/>
          <w:bCs/>
          <w:color w:val="auto"/>
          <w:sz w:val="48"/>
          <w:szCs w:val="48"/>
          <w:highlight w:val="none"/>
          <w:lang w:eastAsia="zh-CN"/>
        </w:rPr>
        <w:t>服务</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2"/>
        <w:rPr>
          <w:rFonts w:hint="eastAsia" w:asciiTheme="minorEastAsia" w:hAnsiTheme="minorEastAsia" w:eastAsiaTheme="minorEastAsia"/>
          <w:b/>
          <w:color w:val="auto"/>
          <w:kern w:val="0"/>
          <w:sz w:val="72"/>
          <w:szCs w:val="72"/>
          <w:highlight w:val="none"/>
        </w:rPr>
      </w:pPr>
      <w:bookmarkStart w:id="3" w:name="_GoBack"/>
      <w:bookmarkEnd w:id="3"/>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2"/>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编号：SFLHG-GKBX-2025-FW50</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9</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11</w:t>
      </w:r>
      <w:r>
        <w:rPr>
          <w:rFonts w:hint="eastAsia" w:cs="黑体" w:asciiTheme="minorEastAsia" w:hAnsiTheme="minorEastAsia" w:eastAsiaTheme="minorEastAsia"/>
          <w:b/>
          <w:bCs/>
          <w:color w:val="auto"/>
          <w:sz w:val="30"/>
          <w:szCs w:val="30"/>
          <w:highlight w:val="none"/>
          <w:lang w:val="en-US" w:eastAsia="zh-CN"/>
        </w:rPr>
        <w:t>日</w:t>
      </w:r>
    </w:p>
    <w:p w14:paraId="3C2905FA">
      <w:pPr>
        <w:widowControl/>
        <w:shd w:val="clear" w:color="auto" w:fill="FFFFFF"/>
        <w:spacing w:line="400" w:lineRule="exact"/>
        <w:ind w:firstLine="371"/>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磷化工分公司磷石膏运输采购</w:t>
      </w:r>
      <w:r>
        <w:rPr>
          <w:rFonts w:hint="eastAsia" w:ascii="黑体" w:hAnsi="黑体" w:eastAsia="黑体" w:cs="宋体"/>
          <w:b/>
          <w:color w:val="auto"/>
          <w:kern w:val="0"/>
          <w:sz w:val="32"/>
          <w:szCs w:val="32"/>
        </w:rPr>
        <w:t>比选</w:t>
      </w:r>
      <w:r>
        <w:rPr>
          <w:rFonts w:hint="eastAsia" w:ascii="黑体" w:hAnsi="黑体" w:eastAsia="黑体" w:cs="宋体"/>
          <w:b/>
          <w:color w:val="auto"/>
          <w:kern w:val="0"/>
          <w:sz w:val="32"/>
          <w:szCs w:val="32"/>
          <w:lang w:val="en-US" w:eastAsia="zh-CN"/>
        </w:rPr>
        <w:t>文件</w:t>
      </w: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spacing w:line="36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为贯彻落实蜀道集团《关于印发磷石膏路用试点工作方案的通知》（蜀道司办〔2025〕57号）、《磷石膏资源化利用及产业化应用专题会会议纪要》（蜀道总经办〔2025〕第 36 次）文件精神，根据川高公司《四川高速公路建设开发集团有限公司关于印发磷石膏路用试点实施方案的通知》（川高路函〔2025〕266 号）、《关于明确磷石膏路用新增试点工程的通知》（川高路函〔2025〕292号），以及《天眉乐高速磷石膏路用试点技术方案》等文件要求，我公司负责生产、提供符合路用材料指标需求的无害化磷石膏。</w:t>
      </w: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对磷石膏运输</w:t>
      </w:r>
      <w:r>
        <w:rPr>
          <w:rFonts w:hint="eastAsia" w:ascii="黑体" w:hAnsi="黑体" w:eastAsia="黑体" w:cs="宋体"/>
          <w:color w:val="auto"/>
          <w:kern w:val="0"/>
          <w:sz w:val="28"/>
          <w:szCs w:val="28"/>
        </w:rPr>
        <w:t>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57E5E844">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一、服务内容</w:t>
      </w:r>
    </w:p>
    <w:p w14:paraId="00BFF251">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 xml:space="preserve"> </w:t>
      </w:r>
      <w:r>
        <w:rPr>
          <w:rFonts w:hint="eastAsia" w:ascii="黑体" w:hAnsi="黑体" w:eastAsia="黑体" w:cs="宋体"/>
          <w:color w:val="auto"/>
          <w:kern w:val="0"/>
          <w:sz w:val="28"/>
          <w:szCs w:val="28"/>
          <w:lang w:val="en-US" w:eastAsia="zh-CN"/>
        </w:rPr>
        <w:t>服务内容</w:t>
      </w:r>
      <w:r>
        <w:rPr>
          <w:rFonts w:hint="eastAsia" w:ascii="黑体" w:hAnsi="黑体" w:eastAsia="黑体" w:cs="宋体"/>
          <w:color w:val="auto"/>
          <w:kern w:val="0"/>
          <w:sz w:val="28"/>
          <w:szCs w:val="28"/>
        </w:rPr>
        <w:t>：</w:t>
      </w:r>
      <w:r>
        <w:rPr>
          <w:rFonts w:hint="eastAsia" w:ascii="黑体" w:hAnsi="黑体" w:eastAsia="黑体" w:cs="宋体"/>
          <w:color w:val="auto"/>
          <w:kern w:val="0"/>
          <w:sz w:val="28"/>
          <w:szCs w:val="28"/>
          <w:lang w:val="en-US" w:eastAsia="zh-CN"/>
        </w:rPr>
        <w:t>磷石膏运输</w:t>
      </w:r>
      <w:r>
        <w:rPr>
          <w:rFonts w:hint="eastAsia" w:ascii="黑体" w:hAnsi="黑体" w:eastAsia="黑体" w:cs="宋体"/>
          <w:color w:val="auto"/>
          <w:kern w:val="0"/>
          <w:sz w:val="28"/>
          <w:szCs w:val="28"/>
          <w:lang w:eastAsia="zh-CN"/>
        </w:rPr>
        <w:t>服务，</w:t>
      </w:r>
      <w:r>
        <w:rPr>
          <w:rFonts w:hint="eastAsia" w:ascii="黑体" w:hAnsi="黑体" w:eastAsia="黑体" w:cs="宋体"/>
          <w:color w:val="auto"/>
          <w:kern w:val="0"/>
          <w:sz w:val="28"/>
          <w:szCs w:val="28"/>
          <w:lang w:val="en-US" w:eastAsia="zh-CN"/>
        </w:rPr>
        <w:t>数量预计7000吨左右，分批提供。</w:t>
      </w:r>
    </w:p>
    <w:p w14:paraId="5C889B1C">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2.服务</w:t>
      </w:r>
      <w:r>
        <w:rPr>
          <w:rFonts w:hint="eastAsia" w:ascii="黑体" w:hAnsi="黑体" w:eastAsia="黑体" w:cs="宋体"/>
          <w:color w:val="auto"/>
          <w:kern w:val="0"/>
          <w:sz w:val="28"/>
          <w:szCs w:val="28"/>
        </w:rPr>
        <w:t>地点：</w:t>
      </w:r>
    </w:p>
    <w:p w14:paraId="566A44AD">
      <w:pPr>
        <w:spacing w:line="360" w:lineRule="exact"/>
        <w:ind w:firstLine="560" w:firstLineChars="200"/>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卸货地点三处：四川省眉山市仁寿县视高街道文家堰、四川省眉山市仁寿县视高街道五星村、四川省眉山市彭山区江白路天眉乐高速TJ3标拌合站。</w:t>
      </w:r>
    </w:p>
    <w:p w14:paraId="3189E225">
      <w:pPr>
        <w:numPr>
          <w:ilvl w:val="0"/>
          <w:numId w:val="0"/>
        </w:num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二、比选人：四川宏达股份有限公司</w:t>
      </w:r>
      <w:r>
        <w:rPr>
          <w:rFonts w:hint="eastAsia" w:ascii="黑体" w:hAnsi="黑体" w:eastAsia="黑体" w:cs="宋体"/>
          <w:color w:val="auto"/>
          <w:kern w:val="0"/>
          <w:sz w:val="28"/>
          <w:szCs w:val="28"/>
          <w:lang w:val="en-US" w:eastAsia="zh-CN"/>
        </w:rPr>
        <w:t>磷化工分公司</w:t>
      </w:r>
      <w:r>
        <w:rPr>
          <w:rFonts w:hint="eastAsia" w:ascii="黑体" w:hAnsi="黑体" w:eastAsia="黑体" w:cs="宋体"/>
          <w:color w:val="auto"/>
          <w:kern w:val="0"/>
          <w:sz w:val="28"/>
          <w:szCs w:val="28"/>
        </w:rPr>
        <w:t xml:space="preserve">  </w:t>
      </w:r>
    </w:p>
    <w:p w14:paraId="0C48047A">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4BF66C18">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服务期限：</w:t>
      </w:r>
      <w:r>
        <w:rPr>
          <w:rFonts w:hint="eastAsia" w:ascii="黑体" w:hAnsi="黑体" w:eastAsia="黑体" w:cs="宋体"/>
          <w:color w:val="auto"/>
          <w:kern w:val="0"/>
          <w:sz w:val="28"/>
          <w:szCs w:val="28"/>
          <w:lang w:val="en-US" w:eastAsia="zh-CN"/>
        </w:rPr>
        <w:t>2025年9月17日至2025年9月30日。</w:t>
      </w:r>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2</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506037F6">
      <w:pPr>
        <w:widowControl/>
        <w:shd w:val="clear" w:color="auto" w:fill="FFFFFF"/>
        <w:spacing w:line="400" w:lineRule="exact"/>
        <w:jc w:val="left"/>
        <w:rPr>
          <w:rFonts w:hint="eastAsia" w:ascii="黑体" w:hAnsi="黑体" w:eastAsia="黑体"/>
          <w:bCs/>
          <w:color w:val="auto"/>
          <w:sz w:val="28"/>
          <w:szCs w:val="28"/>
          <w:lang w:val="en-US" w:eastAsia="zh-CN"/>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eastAsia="zh-CN"/>
        </w:rPr>
        <w:t>：</w:t>
      </w:r>
      <w:r>
        <w:rPr>
          <w:rFonts w:hint="eastAsia" w:ascii="黑体" w:hAnsi="黑体" w:eastAsia="黑体" w:cs="宋体"/>
          <w:color w:val="auto"/>
          <w:kern w:val="0"/>
          <w:sz w:val="28"/>
          <w:szCs w:val="28"/>
          <w:lang w:val="en-US" w:eastAsia="zh-CN"/>
        </w:rPr>
        <w:t>按照当月完成的运输数量下月结算，承运方提供方出具合法有效等额的货物运输业增值税专用发票，四川宏达股份有限公司入账后以银行汇兑支付。</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numPr>
          <w:ilvl w:val="0"/>
          <w:numId w:val="0"/>
        </w:numPr>
        <w:spacing w:line="420" w:lineRule="exact"/>
        <w:ind w:left="0" w:leftChars="0" w:firstLine="0" w:firstLine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3.比选文件的获取</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获取方式为：截至 2025年 9 月 15 日 14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kern w:val="2"/>
          <w:sz w:val="28"/>
          <w:szCs w:val="28"/>
          <w:lang w:val="en-US" w:eastAsia="zh-CN" w:bidi="ar-SA"/>
        </w:rPr>
        <w:t>4.</w:t>
      </w:r>
      <w:r>
        <w:rPr>
          <w:rFonts w:hint="eastAsia" w:ascii="黑体" w:hAnsi="黑体" w:eastAsia="黑体" w:cs="仿宋_GB2312"/>
          <w:color w:val="auto"/>
          <w:sz w:val="28"/>
          <w:szCs w:val="28"/>
          <w:lang w:val="en-US" w:eastAsia="zh-CN"/>
        </w:rPr>
        <w:t>响应性文件的递交</w:t>
      </w:r>
    </w:p>
    <w:p w14:paraId="304D30D4">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 9 月 15  日 14 时 00 分。</w:t>
      </w:r>
    </w:p>
    <w:p w14:paraId="5B16F60F">
      <w:pPr>
        <w:spacing w:line="420" w:lineRule="exact"/>
        <w:rPr>
          <w:rFonts w:hint="default" w:ascii="黑体" w:hAnsi="黑体" w:eastAsia="黑体" w:cs="黑体"/>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w:t>
      </w:r>
      <w:r>
        <w:rPr>
          <w:rFonts w:hint="eastAsia" w:ascii="黑体" w:hAnsi="黑体" w:eastAsia="黑体" w:cs="仿宋_GB2312"/>
          <w:color w:val="auto"/>
          <w:sz w:val="28"/>
          <w:szCs w:val="28"/>
          <w:lang w:val="en-US" w:eastAsia="zh-CN"/>
        </w:rPr>
        <w:t>比选</w:t>
      </w:r>
      <w:r>
        <w:rPr>
          <w:rFonts w:hint="eastAsia" w:ascii="黑体" w:hAnsi="黑体" w:eastAsia="黑体" w:cs="黑体"/>
          <w:color w:val="auto"/>
          <w:kern w:val="0"/>
          <w:sz w:val="28"/>
          <w:szCs w:val="28"/>
        </w:rPr>
        <w:t>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、合计金额、交货期、付款方式等（若询价约定的标的物交货期、付款方式、质保期</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71C3185E">
      <w:pPr>
        <w:numPr>
          <w:ilvl w:val="0"/>
          <w:numId w:val="0"/>
        </w:numPr>
        <w:spacing w:line="420" w:lineRule="exact"/>
        <w:ind w:leftChars="0"/>
        <w:rPr>
          <w:rFonts w:hint="default" w:ascii="黑体" w:hAnsi="黑体" w:eastAsia="黑体" w:cs="仿宋_GB2312"/>
          <w:color w:val="auto"/>
          <w:sz w:val="28"/>
          <w:szCs w:val="28"/>
          <w:lang w:val="en-US" w:eastAsia="zh-CN"/>
        </w:rPr>
      </w:pP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5.响应性文件的要求</w:t>
      </w:r>
    </w:p>
    <w:p w14:paraId="24A91674">
      <w:pPr>
        <w:spacing w:line="420" w:lineRule="exac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（一）服务商应具备有效营业执照；</w:t>
      </w:r>
    </w:p>
    <w:p w14:paraId="00B97A95">
      <w:pPr>
        <w:spacing w:line="420" w:lineRule="exac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（二）服务商具有较好的财务能力，在人员、设备、技术等方面具备相应的履约能力；</w:t>
      </w:r>
    </w:p>
    <w:p w14:paraId="779F5FC3">
      <w:pPr>
        <w:spacing w:line="420" w:lineRule="exac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（三）无违约及违法情况。</w:t>
      </w:r>
    </w:p>
    <w:p w14:paraId="3A351DE4">
      <w:pPr>
        <w:pStyle w:val="2"/>
        <w:rPr>
          <w:rFonts w:hint="default"/>
          <w:color w:val="auto"/>
          <w:lang w:val="en-US" w:eastAsia="zh-CN"/>
        </w:rPr>
      </w:pP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6</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7</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w:t>
      </w:r>
      <w:r>
        <w:rPr>
          <w:rFonts w:hint="eastAsia" w:ascii="黑体" w:hAnsi="黑体" w:eastAsia="黑体" w:cs="宋体"/>
          <w:color w:val="auto"/>
          <w:kern w:val="0"/>
          <w:sz w:val="28"/>
          <w:szCs w:val="28"/>
          <w:lang w:val="en-US" w:eastAsia="zh-CN"/>
        </w:rPr>
        <w:t>比选申请人</w:t>
      </w:r>
      <w:r>
        <w:rPr>
          <w:rFonts w:hint="eastAsia" w:ascii="黑体" w:hAnsi="黑体" w:eastAsia="黑体" w:cs="宋体"/>
          <w:color w:val="auto"/>
          <w:kern w:val="0"/>
          <w:sz w:val="28"/>
          <w:szCs w:val="28"/>
        </w:rPr>
        <w:t>可自愿前来我公司进行实地考查、技术交流或咨询。</w:t>
      </w:r>
    </w:p>
    <w:p w14:paraId="36129111">
      <w:pPr>
        <w:pStyle w:val="2"/>
        <w:rPr>
          <w:color w:val="auto"/>
        </w:rPr>
      </w:pPr>
    </w:p>
    <w:p w14:paraId="440F1485">
      <w:pPr>
        <w:spacing w:line="42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李女士</w:t>
      </w:r>
    </w:p>
    <w:p w14:paraId="3EE99BA5">
      <w:pPr>
        <w:pStyle w:val="2"/>
        <w:ind w:left="0" w:leftChars="0" w:firstLine="0" w:firstLineChars="0"/>
        <w:rPr>
          <w:rFonts w:hint="default"/>
          <w:color w:val="auto"/>
          <w:lang w:val="en-US" w:eastAsia="zh-CN"/>
        </w:rPr>
      </w:pPr>
      <w:r>
        <w:rPr>
          <w:rFonts w:hint="eastAsia" w:ascii="黑体" w:hAnsi="黑体" w:eastAsia="黑体" w:cs="宋体"/>
          <w:color w:val="auto"/>
          <w:kern w:val="0"/>
          <w:sz w:val="28"/>
          <w:szCs w:val="28"/>
          <w:lang w:val="en-US" w:eastAsia="zh-CN"/>
        </w:rPr>
        <w:t>联系方式：15509083970</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0BEE090F">
      <w:pPr>
        <w:pStyle w:val="2"/>
        <w:ind w:left="0" w:leftChars="0"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2"/>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9</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11</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12331C79">
      <w:pPr>
        <w:pStyle w:val="50"/>
        <w:rPr>
          <w:rFonts w:hint="eastAsia"/>
          <w:color w:val="auto"/>
        </w:rPr>
      </w:pPr>
    </w:p>
    <w:p w14:paraId="77262E01">
      <w:pPr>
        <w:spacing w:line="360" w:lineRule="exact"/>
        <w:rPr>
          <w:rFonts w:hint="eastAsia" w:ascii="黑体" w:hAnsi="黑体" w:eastAsia="黑体" w:cs="宋体"/>
          <w:b/>
          <w:color w:val="auto"/>
          <w:kern w:val="0"/>
          <w:sz w:val="28"/>
          <w:szCs w:val="28"/>
        </w:rPr>
      </w:pPr>
    </w:p>
    <w:p w14:paraId="4E4B15C3">
      <w:pPr>
        <w:spacing w:line="360" w:lineRule="exact"/>
        <w:rPr>
          <w:rFonts w:hint="eastAsia" w:ascii="黑体" w:hAnsi="黑体" w:eastAsia="黑体" w:cs="宋体"/>
          <w:b/>
          <w:color w:val="auto"/>
          <w:kern w:val="0"/>
          <w:sz w:val="28"/>
          <w:szCs w:val="28"/>
        </w:rPr>
      </w:pPr>
    </w:p>
    <w:p w14:paraId="13F7DCF7">
      <w:pPr>
        <w:spacing w:line="360" w:lineRule="exact"/>
        <w:rPr>
          <w:rFonts w:hint="eastAsia" w:ascii="黑体" w:hAnsi="黑体" w:eastAsia="黑体" w:cs="宋体"/>
          <w:b/>
          <w:color w:val="auto"/>
          <w:kern w:val="0"/>
          <w:sz w:val="28"/>
          <w:szCs w:val="28"/>
        </w:rPr>
      </w:pPr>
    </w:p>
    <w:p w14:paraId="16A9AFAA">
      <w:pPr>
        <w:spacing w:line="360" w:lineRule="exact"/>
        <w:rPr>
          <w:rFonts w:hint="eastAsia" w:ascii="黑体" w:hAnsi="黑体" w:eastAsia="黑体" w:cs="宋体"/>
          <w:b/>
          <w:color w:val="auto"/>
          <w:kern w:val="0"/>
          <w:sz w:val="28"/>
          <w:szCs w:val="28"/>
        </w:rPr>
      </w:pPr>
    </w:p>
    <w:p w14:paraId="2306DC8D">
      <w:pPr>
        <w:spacing w:line="360" w:lineRule="exact"/>
        <w:rPr>
          <w:rFonts w:hint="eastAsia" w:ascii="黑体" w:hAnsi="黑体" w:eastAsia="黑体" w:cs="宋体"/>
          <w:b/>
          <w:color w:val="auto"/>
          <w:kern w:val="0"/>
          <w:sz w:val="28"/>
          <w:szCs w:val="28"/>
        </w:rPr>
      </w:pPr>
    </w:p>
    <w:p w14:paraId="4955F225">
      <w:pPr>
        <w:spacing w:line="360" w:lineRule="exact"/>
        <w:rPr>
          <w:rFonts w:hint="eastAsia" w:ascii="黑体" w:hAnsi="黑体" w:eastAsia="黑体" w:cs="宋体"/>
          <w:b/>
          <w:color w:val="auto"/>
          <w:kern w:val="0"/>
          <w:sz w:val="28"/>
          <w:szCs w:val="28"/>
        </w:rPr>
      </w:pPr>
    </w:p>
    <w:p w14:paraId="3073C517">
      <w:pPr>
        <w:spacing w:line="360" w:lineRule="exact"/>
        <w:rPr>
          <w:rFonts w:hint="eastAsia" w:ascii="黑体" w:hAnsi="黑体" w:eastAsia="黑体" w:cs="宋体"/>
          <w:b/>
          <w:color w:val="auto"/>
          <w:kern w:val="0"/>
          <w:sz w:val="28"/>
          <w:szCs w:val="28"/>
        </w:rPr>
      </w:pPr>
    </w:p>
    <w:p w14:paraId="37EDF4DE">
      <w:pPr>
        <w:spacing w:line="360" w:lineRule="exact"/>
        <w:rPr>
          <w:rFonts w:hint="eastAsia" w:ascii="黑体" w:hAnsi="黑体" w:eastAsia="黑体" w:cs="宋体"/>
          <w:b/>
          <w:color w:val="auto"/>
          <w:kern w:val="0"/>
          <w:sz w:val="28"/>
          <w:szCs w:val="28"/>
        </w:rPr>
      </w:pPr>
    </w:p>
    <w:p w14:paraId="444EDB62">
      <w:pPr>
        <w:spacing w:line="360" w:lineRule="exact"/>
        <w:rPr>
          <w:rFonts w:hint="eastAsia" w:ascii="黑体" w:hAnsi="黑体" w:eastAsia="黑体" w:cs="宋体"/>
          <w:b/>
          <w:color w:val="auto"/>
          <w:kern w:val="0"/>
          <w:sz w:val="28"/>
          <w:szCs w:val="28"/>
        </w:rPr>
      </w:pP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color w:val="auto"/>
          <w:kern w:val="44"/>
          <w:sz w:val="28"/>
          <w:szCs w:val="28"/>
          <w:highlight w:val="none"/>
          <w:lang w:val="zh-CN"/>
        </w:rPr>
      </w:pPr>
      <w:r>
        <w:rPr>
          <w:rFonts w:hint="eastAsia" w:ascii="宋体" w:hAnsi="宋体" w:cs="宋体"/>
          <w:b/>
          <w:bCs/>
          <w:color w:val="auto"/>
          <w:sz w:val="28"/>
          <w:szCs w:val="28"/>
        </w:rPr>
        <w:br w:type="page"/>
      </w:r>
      <w:bookmarkStart w:id="0" w:name="_Toc4384"/>
      <w:bookmarkStart w:id="1" w:name="_Toc30198"/>
      <w:bookmarkStart w:id="2" w:name="_Toc9978"/>
      <w:r>
        <w:rPr>
          <w:rFonts w:hint="eastAsia" w:cs="黑体" w:asciiTheme="minorEastAsia" w:hAnsiTheme="minorEastAsia" w:eastAsiaTheme="minorEastAsia"/>
          <w:b/>
          <w:bCs/>
          <w:color w:val="auto"/>
          <w:kern w:val="44"/>
          <w:sz w:val="28"/>
          <w:szCs w:val="28"/>
          <w:highlight w:val="none"/>
          <w:lang w:val="zh-CN"/>
        </w:rPr>
        <w:t>（一）</w:t>
      </w:r>
      <w:r>
        <w:rPr>
          <w:rFonts w:hint="eastAsia" w:cs="黑体" w:asciiTheme="minorEastAsia" w:hAnsiTheme="minorEastAsia" w:eastAsiaTheme="minorEastAsia"/>
          <w:b/>
          <w:bCs/>
          <w:color w:val="auto"/>
          <w:kern w:val="44"/>
          <w:sz w:val="28"/>
          <w:szCs w:val="28"/>
          <w:highlight w:val="none"/>
          <w:lang w:val="en-US" w:eastAsia="zh-CN"/>
        </w:rPr>
        <w:t>报价</w:t>
      </w:r>
      <w:r>
        <w:rPr>
          <w:rFonts w:hint="eastAsia" w:cs="黑体" w:asciiTheme="minorEastAsia" w:hAnsiTheme="minorEastAsia" w:eastAsiaTheme="minorEastAsia"/>
          <w:b/>
          <w:bCs/>
          <w:color w:val="auto"/>
          <w:kern w:val="44"/>
          <w:sz w:val="28"/>
          <w:szCs w:val="28"/>
          <w:highlight w:val="none"/>
          <w:lang w:val="zh-CN"/>
        </w:rPr>
        <w:t>函</w:t>
      </w:r>
      <w:bookmarkEnd w:id="0"/>
      <w:bookmarkEnd w:id="1"/>
      <w:bookmarkEnd w:id="2"/>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color w:val="auto"/>
          <w:szCs w:val="21"/>
          <w:highlight w:val="none"/>
        </w:rPr>
        <w:t>：</w:t>
      </w:r>
    </w:p>
    <w:p w14:paraId="7354C7EB">
      <w:pPr>
        <w:pStyle w:val="52"/>
        <w:keepNext w:val="0"/>
        <w:keepLines w:val="0"/>
        <w:pageBreakBefore w:val="0"/>
        <w:numPr>
          <w:ilvl w:val="0"/>
          <w:numId w:val="1"/>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color w:val="auto"/>
          <w:spacing w:val="-3"/>
          <w:highlight w:val="none"/>
        </w:rPr>
        <w:t>（¥</w:t>
      </w:r>
      <w:r>
        <w:rPr>
          <w:rFonts w:hint="eastAsia" w:ascii="宋体" w:hAnsi="宋体" w:eastAsia="宋体" w:cs="宋体"/>
          <w:color w:val="auto"/>
          <w:spacing w:val="-3"/>
          <w:highlight w:val="none"/>
          <w:u w:val="none"/>
          <w:lang w:eastAsia="zh-CN"/>
        </w:rPr>
        <w:t>：</w:t>
      </w:r>
      <w:r>
        <w:rPr>
          <w:rFonts w:ascii="宋体" w:hAnsi="宋体" w:eastAsia="宋体" w:cs="宋体"/>
          <w:color w:val="auto"/>
          <w:spacing w:val="-3"/>
          <w:highlight w:val="none"/>
          <w:u w:val="single"/>
        </w:rPr>
        <w:tab/>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元</w:t>
      </w:r>
      <w:r>
        <w:rPr>
          <w:rFonts w:ascii="宋体" w:hAnsi="宋体" w:eastAsia="宋体" w:cs="宋体"/>
          <w:color w:val="auto"/>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1"/>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我公司承诺在</w:t>
      </w:r>
      <w:r>
        <w:rPr>
          <w:rFonts w:hint="eastAsia" w:asciiTheme="minorEastAsia" w:hAnsiTheme="minorEastAsia" w:eastAsiaTheme="minorEastAsia"/>
          <w:color w:val="auto"/>
          <w:sz w:val="24"/>
          <w:szCs w:val="24"/>
          <w:highlight w:val="none"/>
          <w:lang w:eastAsia="zh-CN"/>
        </w:rPr>
        <w:t>投标有效期</w:t>
      </w:r>
      <w:r>
        <w:rPr>
          <w:rFonts w:hint="eastAsia" w:asciiTheme="minorEastAsia" w:hAnsiTheme="minorEastAsia"/>
          <w:color w:val="auto"/>
          <w:sz w:val="24"/>
          <w:szCs w:val="24"/>
          <w:highlight w:val="none"/>
          <w:u w:val="single"/>
          <w:lang w:val="en-US" w:eastAsia="zh-CN"/>
        </w:rPr>
        <w:t>3</w:t>
      </w:r>
      <w:r>
        <w:rPr>
          <w:rFonts w:hint="eastAsia" w:asciiTheme="minorEastAsia" w:hAnsiTheme="minorEastAsia" w:eastAsiaTheme="minorEastAsia"/>
          <w:color w:val="auto"/>
          <w:sz w:val="24"/>
          <w:szCs w:val="24"/>
          <w:highlight w:val="none"/>
          <w:u w:val="single"/>
          <w:lang w:val="en-US" w:eastAsia="zh-CN"/>
        </w:rPr>
        <w:t>0</w:t>
      </w:r>
      <w:r>
        <w:rPr>
          <w:rFonts w:hint="eastAsia" w:asciiTheme="minorEastAsia" w:hAnsiTheme="minorEastAsia" w:eastAsiaTheme="minorEastAsia"/>
          <w:color w:val="auto"/>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3、如我方</w:t>
      </w:r>
      <w:r>
        <w:rPr>
          <w:rFonts w:hint="eastAsia" w:asciiTheme="minorEastAsia" w:hAnsiTheme="minorEastAsia" w:eastAsiaTheme="minorEastAsia"/>
          <w:color w:val="auto"/>
          <w:sz w:val="24"/>
          <w:szCs w:val="24"/>
          <w:highlight w:val="none"/>
          <w:lang w:val="en-US" w:eastAsia="zh-CN"/>
        </w:rPr>
        <w:t>中标</w:t>
      </w:r>
      <w:r>
        <w:rPr>
          <w:rFonts w:hint="eastAsia" w:asciiTheme="minorEastAsia" w:hAnsiTheme="minorEastAsia" w:eastAsiaTheme="minorEastAsia"/>
          <w:color w:val="auto"/>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color w:val="auto"/>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color w:val="auto"/>
          <w:sz w:val="24"/>
          <w:szCs w:val="24"/>
          <w:highlight w:val="none"/>
          <w:lang w:val="en-US" w:eastAsia="zh-CN"/>
        </w:rPr>
        <w:t>报价单位</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E6E945">
      <w:pPr>
        <w:pStyle w:val="51"/>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二</w:t>
      </w:r>
      <w:r>
        <w:rPr>
          <w:rFonts w:hint="eastAsia" w:ascii="宋体" w:hAnsi="宋体" w:eastAsia="宋体"/>
          <w:b/>
          <w:color w:val="auto"/>
        </w:rPr>
        <w:t>、报价表</w:t>
      </w:r>
    </w:p>
    <w:p w14:paraId="15414075">
      <w:pPr>
        <w:pStyle w:val="2"/>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9405" w:type="dxa"/>
        <w:tblInd w:w="0" w:type="dxa"/>
        <w:shd w:val="clear" w:color="auto" w:fill="auto"/>
        <w:tblLayout w:type="fixed"/>
        <w:tblCellMar>
          <w:top w:w="0" w:type="dxa"/>
          <w:left w:w="0" w:type="dxa"/>
          <w:bottom w:w="0" w:type="dxa"/>
          <w:right w:w="0" w:type="dxa"/>
        </w:tblCellMar>
      </w:tblPr>
      <w:tblGrid>
        <w:gridCol w:w="889"/>
        <w:gridCol w:w="1120"/>
        <w:gridCol w:w="2354"/>
        <w:gridCol w:w="1430"/>
        <w:gridCol w:w="2181"/>
        <w:gridCol w:w="1431"/>
      </w:tblGrid>
      <w:tr w14:paraId="0A5E3B6D">
        <w:tblPrEx>
          <w:shd w:val="clear" w:color="auto" w:fill="auto"/>
          <w:tblCellMar>
            <w:top w:w="0" w:type="dxa"/>
            <w:left w:w="0" w:type="dxa"/>
            <w:bottom w:w="0" w:type="dxa"/>
            <w:right w:w="0" w:type="dxa"/>
          </w:tblCellMar>
        </w:tblPrEx>
        <w:trPr>
          <w:trHeight w:val="480" w:hRule="atLeast"/>
          <w:tblHeader/>
        </w:trPr>
        <w:tc>
          <w:tcPr>
            <w:tcW w:w="889"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2354"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服务内容</w:t>
            </w:r>
          </w:p>
        </w:tc>
        <w:tc>
          <w:tcPr>
            <w:tcW w:w="14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218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w:t>
            </w:r>
          </w:p>
        </w:tc>
        <w:tc>
          <w:tcPr>
            <w:tcW w:w="1431" w:type="dxa"/>
            <w:vMerge w:val="restart"/>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56DCD391">
        <w:tblPrEx>
          <w:shd w:val="clear" w:color="auto" w:fill="auto"/>
          <w:tblCellMar>
            <w:top w:w="0" w:type="dxa"/>
            <w:left w:w="0" w:type="dxa"/>
            <w:bottom w:w="0" w:type="dxa"/>
            <w:right w:w="0" w:type="dxa"/>
          </w:tblCellMar>
        </w:tblPrEx>
        <w:trPr>
          <w:trHeight w:val="584" w:hRule="atLeast"/>
          <w:tblHeader/>
        </w:trPr>
        <w:tc>
          <w:tcPr>
            <w:tcW w:w="889"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AE1C7F6">
            <w:pPr>
              <w:jc w:val="center"/>
              <w:rPr>
                <w:rFonts w:hint="eastAsia" w:ascii="宋体" w:hAnsi="宋体" w:eastAsia="宋体" w:cs="宋体"/>
                <w:b/>
                <w:i w:val="0"/>
                <w:color w:val="auto"/>
                <w:sz w:val="18"/>
                <w:szCs w:val="18"/>
                <w:highlight w:val="none"/>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hint="eastAsia" w:ascii="宋体" w:hAnsi="宋体" w:eastAsia="宋体" w:cs="宋体"/>
                <w:b/>
                <w:i w:val="0"/>
                <w:color w:val="auto"/>
                <w:sz w:val="18"/>
                <w:szCs w:val="18"/>
                <w:highlight w:val="none"/>
                <w:u w:val="none"/>
              </w:rPr>
            </w:pPr>
          </w:p>
        </w:tc>
        <w:tc>
          <w:tcPr>
            <w:tcW w:w="2354"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DBF913C">
            <w:pPr>
              <w:jc w:val="center"/>
              <w:rPr>
                <w:rFonts w:hint="eastAsia" w:ascii="宋体" w:hAnsi="宋体" w:eastAsia="宋体" w:cs="宋体"/>
                <w:b/>
                <w:i w:val="0"/>
                <w:color w:val="auto"/>
                <w:sz w:val="18"/>
                <w:szCs w:val="18"/>
                <w:highlight w:val="none"/>
                <w:u w:val="none"/>
              </w:rPr>
            </w:pPr>
          </w:p>
        </w:tc>
        <w:tc>
          <w:tcPr>
            <w:tcW w:w="14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00A7BA">
            <w:pPr>
              <w:jc w:val="center"/>
              <w:rPr>
                <w:rFonts w:hint="eastAsia" w:ascii="宋体" w:hAnsi="宋体" w:eastAsia="宋体" w:cs="宋体"/>
                <w:b/>
                <w:i w:val="0"/>
                <w:color w:val="auto"/>
                <w:sz w:val="18"/>
                <w:szCs w:val="18"/>
                <w:highlight w:val="none"/>
                <w:u w:val="none"/>
              </w:rPr>
            </w:pPr>
          </w:p>
        </w:tc>
        <w:tc>
          <w:tcPr>
            <w:tcW w:w="2181"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30B2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不含税单价（元）</w:t>
            </w:r>
          </w:p>
        </w:tc>
        <w:tc>
          <w:tcPr>
            <w:tcW w:w="1431" w:type="dxa"/>
            <w:vMerge w:val="continue"/>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2FA6FB">
            <w:pPr>
              <w:jc w:val="left"/>
              <w:rPr>
                <w:rFonts w:hint="eastAsia" w:ascii="宋体" w:hAnsi="宋体" w:eastAsia="宋体" w:cs="宋体"/>
                <w:b/>
                <w:i w:val="0"/>
                <w:color w:val="auto"/>
                <w:sz w:val="18"/>
                <w:szCs w:val="18"/>
                <w:highlight w:val="none"/>
                <w:u w:val="none"/>
              </w:rPr>
            </w:pPr>
          </w:p>
        </w:tc>
      </w:tr>
      <w:tr w14:paraId="1073037E">
        <w:tblPrEx>
          <w:shd w:val="clear" w:color="auto" w:fill="auto"/>
          <w:tblCellMar>
            <w:top w:w="0" w:type="dxa"/>
            <w:left w:w="0" w:type="dxa"/>
            <w:bottom w:w="0" w:type="dxa"/>
            <w:right w:w="0" w:type="dxa"/>
          </w:tblCellMar>
        </w:tblPrEx>
        <w:trPr>
          <w:trHeight w:val="654" w:hRule="atLeast"/>
        </w:trPr>
        <w:tc>
          <w:tcPr>
            <w:tcW w:w="88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jc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磷石膏运输</w:t>
            </w:r>
          </w:p>
        </w:tc>
        <w:tc>
          <w:tcPr>
            <w:tcW w:w="2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jc w:val="center"/>
              <w:rPr>
                <w:rFonts w:hint="eastAsia" w:ascii="宋体" w:hAnsi="宋体" w:eastAsia="宋体" w:cs="宋体"/>
                <w:i w:val="0"/>
                <w:color w:val="auto"/>
                <w:sz w:val="18"/>
                <w:szCs w:val="18"/>
                <w:highlight w:val="none"/>
                <w:u w:val="none"/>
              </w:rPr>
            </w:pPr>
            <w:r>
              <w:rPr>
                <w:rFonts w:hint="eastAsia"/>
                <w:color w:val="auto"/>
                <w:lang w:val="en-US" w:eastAsia="zh-CN"/>
              </w:rPr>
              <w:t>四川省什邡市洛水镇四川宏达股份有限公司至四川省眉山市仁寿县视高街道文家堰</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eastAsia" w:ascii="宋体" w:hAnsi="宋体" w:eastAsia="宋体" w:cs="宋体"/>
                <w:i w:val="0"/>
                <w:color w:val="auto"/>
                <w:sz w:val="18"/>
                <w:szCs w:val="18"/>
                <w:highlight w:val="none"/>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431"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hint="eastAsia" w:ascii="宋体" w:hAnsi="宋体" w:eastAsia="宋体" w:cs="宋体"/>
                <w:i w:val="0"/>
                <w:color w:val="auto"/>
                <w:sz w:val="18"/>
                <w:szCs w:val="18"/>
                <w:highlight w:val="none"/>
                <w:u w:val="none"/>
              </w:rPr>
            </w:pPr>
          </w:p>
        </w:tc>
      </w:tr>
      <w:tr w14:paraId="53DE4ADA">
        <w:tblPrEx>
          <w:tblCellMar>
            <w:top w:w="0" w:type="dxa"/>
            <w:left w:w="0" w:type="dxa"/>
            <w:bottom w:w="0" w:type="dxa"/>
            <w:right w:w="0" w:type="dxa"/>
          </w:tblCellMar>
        </w:tblPrEx>
        <w:trPr>
          <w:trHeight w:val="654" w:hRule="atLeast"/>
        </w:trPr>
        <w:tc>
          <w:tcPr>
            <w:tcW w:w="88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378A1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473C9">
            <w:pPr>
              <w:jc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磷石膏运输</w:t>
            </w:r>
          </w:p>
        </w:tc>
        <w:tc>
          <w:tcPr>
            <w:tcW w:w="2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77E87">
            <w:pPr>
              <w:jc w:val="center"/>
              <w:rPr>
                <w:rFonts w:hint="eastAsia" w:ascii="宋体" w:hAnsi="宋体" w:eastAsia="宋体" w:cs="宋体"/>
                <w:i w:val="0"/>
                <w:color w:val="auto"/>
                <w:sz w:val="18"/>
                <w:szCs w:val="18"/>
                <w:highlight w:val="none"/>
                <w:u w:val="none"/>
              </w:rPr>
            </w:pPr>
            <w:r>
              <w:rPr>
                <w:rFonts w:hint="eastAsia"/>
                <w:color w:val="auto"/>
                <w:lang w:val="en-US" w:eastAsia="zh-CN"/>
              </w:rPr>
              <w:t>四川省什邡市洛水镇四川宏达股份有限公司至四川省眉山市仁寿县视高街道五星村</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EFAF7">
            <w:pPr>
              <w:jc w:val="center"/>
              <w:rPr>
                <w:rFonts w:hint="eastAsia" w:ascii="宋体" w:hAnsi="宋体" w:eastAsia="宋体" w:cs="宋体"/>
                <w:i w:val="0"/>
                <w:color w:val="auto"/>
                <w:sz w:val="18"/>
                <w:szCs w:val="18"/>
                <w:highlight w:val="none"/>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56E76">
            <w:pPr>
              <w:jc w:val="center"/>
              <w:rPr>
                <w:rFonts w:hint="eastAsia" w:ascii="宋体" w:hAnsi="宋体" w:eastAsia="宋体" w:cs="宋体"/>
                <w:i w:val="0"/>
                <w:color w:val="auto"/>
                <w:sz w:val="18"/>
                <w:szCs w:val="18"/>
                <w:highlight w:val="none"/>
                <w:u w:val="none"/>
              </w:rPr>
            </w:pPr>
          </w:p>
        </w:tc>
        <w:tc>
          <w:tcPr>
            <w:tcW w:w="1431"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8A810D">
            <w:pPr>
              <w:rPr>
                <w:rFonts w:hint="eastAsia" w:ascii="宋体" w:hAnsi="宋体" w:eastAsia="宋体" w:cs="宋体"/>
                <w:i w:val="0"/>
                <w:color w:val="auto"/>
                <w:sz w:val="18"/>
                <w:szCs w:val="18"/>
                <w:highlight w:val="none"/>
                <w:u w:val="none"/>
              </w:rPr>
            </w:pPr>
          </w:p>
        </w:tc>
      </w:tr>
      <w:tr w14:paraId="140C5CE7">
        <w:tblPrEx>
          <w:tblCellMar>
            <w:top w:w="0" w:type="dxa"/>
            <w:left w:w="0" w:type="dxa"/>
            <w:bottom w:w="0" w:type="dxa"/>
            <w:right w:w="0" w:type="dxa"/>
          </w:tblCellMar>
        </w:tblPrEx>
        <w:trPr>
          <w:trHeight w:val="654" w:hRule="atLeast"/>
        </w:trPr>
        <w:tc>
          <w:tcPr>
            <w:tcW w:w="88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EDC661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lang w:val="en-US" w:eastAsia="zh-CN"/>
              </w:rPr>
            </w:pPr>
            <w:r>
              <w:rPr>
                <w:rFonts w:hint="eastAsia" w:ascii="宋体" w:hAnsi="宋体" w:eastAsia="宋体" w:cs="宋体"/>
                <w:b/>
                <w:i w:val="0"/>
                <w:color w:val="auto"/>
                <w:sz w:val="18"/>
                <w:szCs w:val="18"/>
                <w:highlight w:val="none"/>
                <w:u w:val="none"/>
                <w:lang w:val="en-US" w:eastAsia="zh-CN"/>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4D88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i w:val="0"/>
                <w:color w:val="auto"/>
                <w:kern w:val="0"/>
                <w:sz w:val="16"/>
                <w:szCs w:val="16"/>
                <w:highlight w:val="none"/>
                <w:u w:val="none"/>
                <w:lang w:val="en-US" w:eastAsia="zh-CN" w:bidi="ar"/>
              </w:rPr>
              <w:t>磷石膏运输</w:t>
            </w:r>
          </w:p>
        </w:tc>
        <w:tc>
          <w:tcPr>
            <w:tcW w:w="2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7DB469">
            <w:pPr>
              <w:jc w:val="center"/>
              <w:rPr>
                <w:rFonts w:hint="eastAsia" w:ascii="宋体" w:hAnsi="宋体" w:eastAsia="宋体" w:cs="宋体"/>
                <w:i w:val="0"/>
                <w:color w:val="auto"/>
                <w:sz w:val="18"/>
                <w:szCs w:val="18"/>
                <w:highlight w:val="none"/>
                <w:u w:val="none"/>
              </w:rPr>
            </w:pPr>
            <w:r>
              <w:rPr>
                <w:rFonts w:hint="eastAsia"/>
                <w:color w:val="auto"/>
                <w:lang w:val="en-US" w:eastAsia="zh-CN"/>
              </w:rPr>
              <w:t>四川省什邡市洛水镇四川宏达股份有限公司至四川省眉山市彭山区江白路天眉乐高速TJ3标拌合站</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793047">
            <w:pPr>
              <w:jc w:val="center"/>
              <w:rPr>
                <w:rFonts w:hint="eastAsia" w:ascii="宋体" w:hAnsi="宋体" w:eastAsia="宋体" w:cs="宋体"/>
                <w:i w:val="0"/>
                <w:color w:val="auto"/>
                <w:sz w:val="18"/>
                <w:szCs w:val="18"/>
                <w:highlight w:val="none"/>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51CD6A">
            <w:pPr>
              <w:jc w:val="center"/>
              <w:rPr>
                <w:rFonts w:hint="eastAsia" w:ascii="宋体" w:hAnsi="宋体" w:eastAsia="宋体" w:cs="宋体"/>
                <w:i w:val="0"/>
                <w:color w:val="auto"/>
                <w:sz w:val="18"/>
                <w:szCs w:val="18"/>
                <w:highlight w:val="none"/>
                <w:u w:val="none"/>
              </w:rPr>
            </w:pPr>
          </w:p>
        </w:tc>
        <w:tc>
          <w:tcPr>
            <w:tcW w:w="1431"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17E80DB">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rPr>
        <w:t>不含税价总计金额（大写）：                      含税到场价总计金额（大写）：</w:t>
      </w: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6"/>
        <w:spacing w:before="120" w:line="480" w:lineRule="exact"/>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kinsoku/>
        <w:overflowPunct/>
        <w:topLinePunct w:val="0"/>
        <w:bidi w:val="0"/>
        <w:spacing w:line="360" w:lineRule="auto"/>
        <w:ind w:right="0" w:rightChars="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三</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服务内容</w:t>
      </w:r>
      <w:r>
        <w:rPr>
          <w:rFonts w:hint="eastAsia" w:ascii="宋体" w:hAnsi="宋体"/>
          <w:color w:val="auto"/>
        </w:rPr>
        <w:t>）的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2"/>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color w:val="auto"/>
          <w:kern w:val="0"/>
          <w:sz w:val="28"/>
          <w:szCs w:val="28"/>
        </w:rPr>
      </w:pPr>
    </w:p>
    <w:p w14:paraId="071078EC">
      <w:pPr>
        <w:spacing w:line="360" w:lineRule="exact"/>
        <w:rPr>
          <w:rFonts w:hint="eastAsia" w:ascii="黑体" w:hAnsi="黑体" w:eastAsia="黑体" w:cs="宋体"/>
          <w:b/>
          <w:color w:val="auto"/>
          <w:kern w:val="0"/>
          <w:sz w:val="28"/>
          <w:szCs w:val="28"/>
        </w:rPr>
      </w:pPr>
    </w:p>
    <w:p w14:paraId="445E8863">
      <w:pPr>
        <w:spacing w:line="360" w:lineRule="exact"/>
        <w:rPr>
          <w:rFonts w:hint="eastAsia" w:ascii="黑体" w:hAnsi="黑体" w:eastAsia="黑体" w:cs="宋体"/>
          <w:b/>
          <w:color w:val="auto"/>
          <w:kern w:val="0"/>
          <w:sz w:val="28"/>
          <w:szCs w:val="28"/>
        </w:rPr>
      </w:pPr>
    </w:p>
    <w:p w14:paraId="26F89609">
      <w:pPr>
        <w:spacing w:line="360" w:lineRule="exact"/>
        <w:rPr>
          <w:rFonts w:hint="eastAsia" w:ascii="黑体" w:hAnsi="黑体" w:eastAsia="黑体" w:cs="宋体"/>
          <w:b/>
          <w:color w:val="auto"/>
          <w:kern w:val="0"/>
          <w:sz w:val="28"/>
          <w:szCs w:val="28"/>
        </w:rPr>
      </w:pPr>
    </w:p>
    <w:p w14:paraId="2316C6D9">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212517"/>
    <w:rsid w:val="043B2184"/>
    <w:rsid w:val="0475718F"/>
    <w:rsid w:val="0485137E"/>
    <w:rsid w:val="04C66C1A"/>
    <w:rsid w:val="04D1736D"/>
    <w:rsid w:val="05573D16"/>
    <w:rsid w:val="057443B4"/>
    <w:rsid w:val="05C017FD"/>
    <w:rsid w:val="0687687D"/>
    <w:rsid w:val="06F2489E"/>
    <w:rsid w:val="070268E6"/>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87156EC"/>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5A72A6"/>
    <w:rsid w:val="2A7A0382"/>
    <w:rsid w:val="2A9A281E"/>
    <w:rsid w:val="2AAB5DE7"/>
    <w:rsid w:val="2AC075D6"/>
    <w:rsid w:val="2C0635BA"/>
    <w:rsid w:val="2C612895"/>
    <w:rsid w:val="2C672453"/>
    <w:rsid w:val="2EC03E0B"/>
    <w:rsid w:val="2EE64169"/>
    <w:rsid w:val="300E355A"/>
    <w:rsid w:val="30337F16"/>
    <w:rsid w:val="30464A25"/>
    <w:rsid w:val="3082583C"/>
    <w:rsid w:val="31A45B7D"/>
    <w:rsid w:val="31A5035D"/>
    <w:rsid w:val="323E55F6"/>
    <w:rsid w:val="33980AB1"/>
    <w:rsid w:val="344A7D4E"/>
    <w:rsid w:val="347D19AD"/>
    <w:rsid w:val="34C3271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3D1A14"/>
    <w:rsid w:val="456059BE"/>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61512EF"/>
    <w:rsid w:val="66A77D57"/>
    <w:rsid w:val="66C75014"/>
    <w:rsid w:val="66CA51E5"/>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5">
    <w:name w:val="annotation text"/>
    <w:basedOn w:val="1"/>
    <w:semiHidden/>
    <w:unhideWhenUsed/>
    <w:qFormat/>
    <w:uiPriority w:val="99"/>
    <w:pPr>
      <w:jc w:val="left"/>
    </w:pPr>
  </w:style>
  <w:style w:type="paragraph" w:styleId="6">
    <w:name w:val="Body Text Indent"/>
    <w:basedOn w:val="1"/>
    <w:next w:val="2"/>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1813</Words>
  <Characters>1943</Characters>
  <Lines>16</Lines>
  <Paragraphs>4</Paragraphs>
  <TotalTime>3</TotalTime>
  <ScaleCrop>false</ScaleCrop>
  <LinksUpToDate>false</LinksUpToDate>
  <CharactersWithSpaces>2868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cp:lastModifiedBy>
  <dcterms:modified xsi:type="dcterms:W3CDTF">2025-09-12T01:10:56Z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2052-12.1.0.22529</vt:lpwstr>
  </property>
  <property fmtid="{D5CDD505-2E9C-101B-9397-08002B2CF9AE}" pid="4" name="ICV">
    <vt:lpwstr>638278A91B6247A3A14F33886A0DB3EB_13</vt:lpwstr>
  </property>
</Properties>
</file>