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0397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四川宏达股份有限公司</w:t>
      </w:r>
    </w:p>
    <w:p w14:paraId="0DA9AE2B">
      <w:pPr>
        <w:spacing w:line="360" w:lineRule="auto"/>
        <w:jc w:val="center"/>
        <w:rPr>
          <w:rFonts w:hint="default" w:ascii="黑体" w:hAnsi="黑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值班室多媒体及监控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设备采购</w:t>
      </w: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HDGF-GKBX-2025-HW13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4ABDF323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值班室多媒体及监控设备采购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编号：HDGF-GKBX-2025-HW13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公司对以下标的物进行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多媒体及监控设备</w:t>
      </w:r>
    </w:p>
    <w:p w14:paraId="3189E22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四川宏达股份有限公司  </w:t>
      </w:r>
    </w:p>
    <w:p w14:paraId="67EB3B3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设备清单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89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232"/>
        <w:gridCol w:w="906"/>
        <w:gridCol w:w="6234"/>
      </w:tblGrid>
      <w:tr w14:paraId="3EE7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61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B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FD3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69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参数</w:t>
            </w:r>
          </w:p>
        </w:tc>
      </w:tr>
      <w:tr w14:paraId="5104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E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E5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室内LED高清大屏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379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6㎡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62F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素间距（mm） 1.25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模组分辨率（W×H） 256X128=32768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模组尺寸（mm） 320（W）×160（H）×16.6（D）</w:t>
            </w:r>
          </w:p>
        </w:tc>
      </w:tr>
      <w:tr w14:paraId="3802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44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B7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LED显示屏控制系统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D0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1套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B99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板卡</w:t>
            </w:r>
          </w:p>
          <w:p w14:paraId="721DB25F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单卡8个标准HUB320接口，输出32组RGB数据，无需配转接板，减少接插HUB板，减少故障点，降低故障率。2最大带载：32 万像素点（320*1024）注：HUB320接口P1.538、P1.25间距以上小间距模组可以带8张。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二、信号处理器</w:t>
            </w:r>
          </w:p>
          <w:p w14:paraId="25A372B1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★1、集成2画面视</w:t>
            </w:r>
            <w:bookmarkStart w:id="5" w:name="_GoBack"/>
            <w:bookmarkEnd w:id="5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频处理、发送卡功能的二合一控制器；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★2、带载面积：520万像素点(VP820A)，最宽可达16000点，最高可达4000点；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★3、同时支持2路4K高清输入，自由切换输入信号源，各通道之间实现快速切换，支持淡入直出功能；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★4、支持2画面任意布局，画中画PIP、画外画POP；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★5、DP1.2接口x1（3840x2160@60Hz，极限宽高4096点）、HDMI2.0接口x2（3840x2160@60Hz，极限宽高4096点）、DVI1.0接口x1（1080p@60Hz)、VGA接口x1；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6、SDI接口x1（选配）、SDI环出x1（选配）；</w:t>
            </w:r>
          </w:p>
        </w:tc>
      </w:tr>
      <w:tr w14:paraId="0788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BD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3B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LED显示屏结构及装饰包边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4B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1套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BF53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钢结构尺寸：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1、钢结构：钢架构件（含接合板）采用Q235B钢制作，结构用钢应符合《GB700-88》规定的Q235要求，保证其抗拉强度、伸长率、屈服点，碳、硫、磷的极限含量；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2、焊条：手工焊：Q235连接用E43系列焊条；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3、自动焊：Q235连接用H08系列焊条；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4、包边：不锈钢包边；上下左右各5CM，超出费用另计，颜色可选</w:t>
            </w:r>
          </w:p>
        </w:tc>
      </w:tr>
      <w:tr w14:paraId="7845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1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9C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回音壁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96C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1套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CF7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系统：2.1声道内置系统                                                                                                                                                       对话增强器：三种模式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数字输入：光纤、蓝牙(版本4.2)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模拟输入：(3.5mm迷你插孔)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支持音频格式：Dolby数字解码/DTS/DTS Virtual:X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壁挂方式：支持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HDMI2.0输出，带ARC：支持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回音壁单元：2个1.75x3.5英寸中音单元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2个1英寸高音单元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2个3英寸低音单元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尺寸(宽x高x深)：890x66 x120 mm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重量：3.4 kg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控制钮和指示灯：顶部面板LED和遥控器</w:t>
            </w:r>
          </w:p>
        </w:tc>
      </w:tr>
      <w:tr w14:paraId="2E4E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E2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11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4MIC USB有线智能全向麦克风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B7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1个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3AE6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4麦克风阵列，360°全向拾音，5米拾音半径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支持智能（稳态和瞬态）降噪算法、抗混响，增强人声，保证通话/音频质量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支持USB数据线有线连接，免驱设计，即插即用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兼容多个主流通讯软件</w:t>
            </w:r>
          </w:p>
        </w:tc>
      </w:tr>
      <w:tr w14:paraId="58A0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095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AC0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总部路由器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47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BBED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10口全千兆路由器,19寸标准机架铁壳设计。终端带机量300台,最大支持2000Mbps带宽。整机带10个千兆以太网口,其中固化2个WAND, 2个LAN/WAN可切换口,固化6个LAN口,最大支持4个WAN口,其中两个口为默认专用聚合口。可带128个分支机构，150个网络摄像机</w:t>
            </w:r>
          </w:p>
        </w:tc>
      </w:tr>
      <w:tr w14:paraId="6E9A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6A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47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总部管理交换机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F2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DD2E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网管型交换机，16个10/100/1000Mbps自适应电口+2个1000Mbps上联SFP光口，交换容量336Gbps，包转发率54Mpps，金属外壳，6kV防雷，机架式交换机。支持VLAN划分、环路检测、防私接、线缆检测、端口隔离等功能，支持EWEB/APP/MACC远程管理。</w:t>
            </w:r>
          </w:p>
        </w:tc>
      </w:tr>
      <w:tr w14:paraId="443A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2C0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BC9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分支路由器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F5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2台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ABC5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10口全千兆路由器, 19寸标准机架铁壳设计。终端带机量200台,最大支持1000Mbps带宽。整机带10个千兆以太网口,其中固化2个WAND, 2个LAN/WAN可切换口,固化6个LAN口,最大支持4个WAN口。可带32个分支机构，60个网络摄像机</w:t>
            </w:r>
          </w:p>
        </w:tc>
      </w:tr>
      <w:tr w14:paraId="2FC9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F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E6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H265上墙解码器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76E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A267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 xml:space="preserve">"超高清解码器 视频输入 • 支持电脑、视频会议终端等视频输入信号源，支持2路1080P@50/60 或1路4K@30，通过HDMI 1.4本地输入，HDMI可内嵌音频 视频编解码 • 采用H.264/H.265编码标准，默认采用H.265，支持子码流及主码流编码 • 最大支持3200w分辨率解码，具有32个解码通道，支持32路200W视频同时解码上墙 • 支持加密码流、多轨码流、智能码流解码；支持码流修改和切换；支持解码异常提示 视频输入接口：2路HDMI 1.4，最大支持4K（仅奇数口） 音频输入接口：2路HDMI内嵌 ，音频输出接口数：4 音频输出接口类型：HDMI内嵌或DB15转BNC独立音频输出 </w:t>
            </w:r>
          </w:p>
        </w:tc>
      </w:tr>
      <w:tr w14:paraId="0E16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95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14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视频工作站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2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1台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E132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酷睿14代i5-14400F处理器； RTX4060显卡；32G DDR5内存；1TB存储；27英寸显示器；配无线键盘鼠标（罗技等一线品牌）。</w:t>
            </w:r>
          </w:p>
        </w:tc>
      </w:tr>
      <w:tr w14:paraId="6EA0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D7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92F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L型操作台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99B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223D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A=L2000mm*W700mm*H750mm，B=L1900mm*W700mm*H750mm，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Q235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板材厚度不小于1.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mm，灰白色RAL9002 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详见设计图。</w:t>
            </w:r>
          </w:p>
        </w:tc>
      </w:tr>
      <w:tr w14:paraId="6226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9233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说明：需提供安装调试服务。</w:t>
            </w:r>
          </w:p>
        </w:tc>
      </w:tr>
    </w:tbl>
    <w:p w14:paraId="4AE949CC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2814E44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资格要求：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EBE8B8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技术要求详见方案书。操作台技术要求详见设计图。</w:t>
      </w:r>
    </w:p>
    <w:p w14:paraId="69F811C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248BFDC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交货工</w:t>
      </w:r>
      <w:r>
        <w:rPr>
          <w:rFonts w:hint="eastAsia" w:ascii="黑体" w:hAnsi="黑体" w:eastAsia="黑体" w:cs="宋体"/>
          <w:kern w:val="0"/>
          <w:sz w:val="28"/>
          <w:szCs w:val="28"/>
        </w:rPr>
        <w:t>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完成设备交付及安装调试服务。</w:t>
      </w:r>
    </w:p>
    <w:p w14:paraId="4CD7525F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6.质保期：验收合格之日起1年。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验收：由比选人相关职能部门对安装的设备数量、规格型号进行验收；对视频网络运行质量进行验收。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9.比选文件的获取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2025年9月10日10时 00 分至 2025年9月 15日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①递交截止时间：2025年9月 15日10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单价、</w:t>
      </w:r>
      <w:r>
        <w:rPr>
          <w:rFonts w:hint="eastAsia" w:ascii="黑体" w:hAnsi="黑体" w:eastAsia="黑体" w:cs="黑体"/>
          <w:sz w:val="28"/>
          <w:szCs w:val="28"/>
        </w:rPr>
        <w:t>合计金额（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价含运输费用含安装调试</w:t>
      </w:r>
      <w:r>
        <w:rPr>
          <w:rFonts w:hint="eastAsia" w:ascii="黑体" w:hAnsi="黑体" w:eastAsia="黑体" w:cs="黑体"/>
          <w:sz w:val="28"/>
          <w:szCs w:val="28"/>
        </w:rPr>
        <w:t>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11.响应性文件的组成要求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②报价函件。</w:t>
      </w:r>
    </w:p>
    <w:p w14:paraId="676E5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设备报价清单。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12.本项目采用合理最低价法进行比选。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6ED43AE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有色金属分公司</w:t>
      </w: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1B73FAF0">
      <w:pPr>
        <w:pStyle w:val="49"/>
        <w:rPr>
          <w:rFonts w:hint="eastAsia"/>
        </w:rPr>
      </w:pPr>
    </w:p>
    <w:p w14:paraId="10E0B31B">
      <w:pPr>
        <w:pStyle w:val="49"/>
        <w:rPr>
          <w:rFonts w:hint="eastAsia"/>
        </w:rPr>
      </w:pPr>
    </w:p>
    <w:p w14:paraId="2438A38F">
      <w:pPr>
        <w:pStyle w:val="49"/>
        <w:rPr>
          <w:rFonts w:hint="eastAsia"/>
        </w:rPr>
      </w:pPr>
    </w:p>
    <w:p w14:paraId="5EBF0292">
      <w:pPr>
        <w:pStyle w:val="49"/>
        <w:rPr>
          <w:rFonts w:hint="eastAsia"/>
        </w:rPr>
      </w:pPr>
    </w:p>
    <w:p w14:paraId="5B5F2421">
      <w:pPr>
        <w:pStyle w:val="49"/>
        <w:rPr>
          <w:rFonts w:hint="eastAsia"/>
        </w:rPr>
      </w:pPr>
    </w:p>
    <w:p w14:paraId="65D899D9">
      <w:pPr>
        <w:pStyle w:val="49"/>
        <w:rPr>
          <w:rFonts w:hint="eastAsia"/>
        </w:rPr>
      </w:pPr>
    </w:p>
    <w:p w14:paraId="739957D7">
      <w:pPr>
        <w:pStyle w:val="49"/>
        <w:rPr>
          <w:rFonts w:hint="eastAsia"/>
        </w:rPr>
      </w:pPr>
    </w:p>
    <w:p w14:paraId="1735F40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BE8841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D425F0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962199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F6FCA9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5CFE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29A35A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86112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AAEB3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F85BC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值班室多媒体及监控设备采购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4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9978"/>
      <w:bookmarkStart w:id="3" w:name="_Toc4384"/>
      <w:bookmarkStart w:id="4" w:name="_Toc30198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4900582">
      <w:pPr>
        <w:keepNext/>
        <w:keepLines/>
        <w:numPr>
          <w:ilvl w:val="0"/>
          <w:numId w:val="4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2"/>
    <w:bookmarkEnd w:id="3"/>
    <w:bookmarkEnd w:id="4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6DD457">
      <w:pPr>
        <w:keepNext/>
        <w:keepLines/>
        <w:numPr>
          <w:ilvl w:val="0"/>
          <w:numId w:val="4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="0" w:leftChars="0" w:firstLine="0" w:firstLine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设备报价清单：</w:t>
      </w:r>
    </w:p>
    <w:p w14:paraId="69BA4181">
      <w:pPr>
        <w:kinsoku/>
        <w:overflowPunct/>
        <w:topLinePunct w:val="0"/>
        <w:bidi w:val="0"/>
        <w:spacing w:line="360" w:lineRule="auto"/>
        <w:ind w:right="0" w:rightChars="0"/>
        <w:rPr>
          <w:rFonts w:ascii="宋体" w:hAnsi="宋体"/>
          <w:color w:val="auto"/>
          <w:sz w:val="24"/>
        </w:rPr>
      </w:pPr>
    </w:p>
    <w:tbl>
      <w:tblPr>
        <w:tblStyle w:val="16"/>
        <w:tblpPr w:leftFromText="180" w:rightFromText="180" w:vertAnchor="text" w:horzAnchor="page" w:tblpX="1074" w:tblpY="253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1D31B9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34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B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投标报价（现汇付款税率9%）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品牌或生产商</w:t>
            </w:r>
          </w:p>
        </w:tc>
      </w:tr>
      <w:tr w14:paraId="1712A6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995E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CD2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3B1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064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B78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F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D5B0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ACBD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A7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68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629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473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1B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31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EC76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F741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59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EFD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8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F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E72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17C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38B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D708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5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28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40D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21C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C23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324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45B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7596E"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........</w:t>
            </w:r>
          </w:p>
        </w:tc>
      </w:tr>
      <w:tr w14:paraId="60455D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6D182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910D8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 xml:space="preserve">   </w:t>
      </w:r>
    </w:p>
    <w:p w14:paraId="33EA8B2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DB7856E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运输费、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包装费、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安装调试费及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3E17A8E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</w:p>
    <w:p w14:paraId="027F428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ABA189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CE45BC5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86146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评估报告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评估报告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3FD38C9"/>
    <w:multiLevelType w:val="singleLevel"/>
    <w:tmpl w:val="B3FD38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7EC9D6"/>
    <w:multiLevelType w:val="singleLevel"/>
    <w:tmpl w:val="BC7EC9D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5E76BB4"/>
    <w:multiLevelType w:val="singleLevel"/>
    <w:tmpl w:val="E5E76B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916DD0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982524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5B713D5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AF53541"/>
    <w:rsid w:val="7BBE5F26"/>
    <w:rsid w:val="7C9D75AD"/>
    <w:rsid w:val="7D337377"/>
    <w:rsid w:val="7D902913"/>
    <w:rsid w:val="7DA00113"/>
    <w:rsid w:val="7E6846C6"/>
    <w:rsid w:val="7E6B5FAF"/>
    <w:rsid w:val="7EC34622"/>
    <w:rsid w:val="7ED33846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2918</Words>
  <Characters>3544</Characters>
  <Lines>16</Lines>
  <Paragraphs>4</Paragraphs>
  <TotalTime>12</TotalTime>
  <ScaleCrop>false</ScaleCrop>
  <LinksUpToDate>false</LinksUpToDate>
  <CharactersWithSpaces>4557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2025-09-09T07:44:57Z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