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cstheme="minorEastAsia"/>
          <w:b/>
          <w:bCs/>
          <w:color w:val="auto"/>
          <w:sz w:val="48"/>
          <w:szCs w:val="48"/>
          <w:highlight w:val="none"/>
          <w:lang w:val="en-US" w:eastAsia="zh-CN"/>
        </w:rPr>
        <w:t>什邡磷化工分公司磷石膏库环境风险隐患排查水文地质勘察报告</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编号：SFLHG-GKBX-2025-FW45</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8</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28</w:t>
      </w:r>
      <w:r>
        <w:rPr>
          <w:rFonts w:hint="eastAsia" w:cs="黑体" w:asciiTheme="minorEastAsia" w:hAnsiTheme="minorEastAsia" w:eastAsiaTheme="minorEastAsia"/>
          <w:b/>
          <w:bCs/>
          <w:sz w:val="30"/>
          <w:szCs w:val="30"/>
          <w:highlight w:val="none"/>
          <w:lang w:val="en-US" w:eastAsia="zh-CN"/>
        </w:rPr>
        <w:t>日</w:t>
      </w:r>
    </w:p>
    <w:p w14:paraId="79458E10">
      <w:pPr>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什邡磷化工分公司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w:t>
      </w:r>
      <w:r>
        <w:rPr>
          <w:rFonts w:hint="eastAsia" w:ascii="黑体" w:hAnsi="黑体" w:eastAsia="黑体" w:cs="Segoe UI"/>
          <w:b/>
          <w:bCs/>
          <w:color w:val="000000"/>
          <w:kern w:val="0"/>
          <w:sz w:val="32"/>
          <w:szCs w:val="32"/>
          <w:lang w:val="en-US" w:eastAsia="zh-CN"/>
        </w:rPr>
        <w:t>磷石膏库环境风险隐患排查水文地质勘察报告</w:t>
      </w:r>
      <w:r>
        <w:rPr>
          <w:rFonts w:hint="eastAsia" w:ascii="黑体" w:hAnsi="黑体" w:eastAsia="黑体" w:cs="宋体"/>
          <w:b/>
          <w:color w:val="333333"/>
          <w:kern w:val="0"/>
          <w:sz w:val="32"/>
          <w:szCs w:val="32"/>
        </w:rPr>
        <w:t>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编号：SFLHG-GKBX-2025-FW45</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什邡磷化工分公司根据《德阳市生态环境局办公室关于开展磷石膏库环境风险隐患排查整治工作的通知》（德环办发[2025]72号）要求，磷化工分公司需编制磷石膏库环境风险隐患排查水文地质勘察报告，</w:t>
      </w:r>
      <w:r>
        <w:rPr>
          <w:rFonts w:hint="eastAsia" w:ascii="黑体" w:hAnsi="黑体" w:eastAsia="黑体" w:cs="宋体"/>
          <w:kern w:val="0"/>
          <w:sz w:val="28"/>
          <w:szCs w:val="28"/>
        </w:rPr>
        <w:t>本着“公开、公平、公正”的原则，现进行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委托有“水文地质勘查专业资质”的单位开展水文地质勘察，并编制《磷石膏库环境风险隐患排查水文地质勘察报告》</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536"/>
        <w:gridCol w:w="3120"/>
        <w:gridCol w:w="924"/>
        <w:gridCol w:w="3462"/>
      </w:tblGrid>
      <w:tr w14:paraId="222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11" w:type="dxa"/>
            <w:vAlign w:val="center"/>
          </w:tcPr>
          <w:p w14:paraId="6F32582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6" w:type="dxa"/>
            <w:vAlign w:val="center"/>
          </w:tcPr>
          <w:p w14:paraId="7AF631D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3120" w:type="dxa"/>
            <w:vAlign w:val="center"/>
          </w:tcPr>
          <w:p w14:paraId="6E7119C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技术参数</w:t>
            </w:r>
          </w:p>
        </w:tc>
        <w:tc>
          <w:tcPr>
            <w:tcW w:w="924" w:type="dxa"/>
            <w:vAlign w:val="center"/>
          </w:tcPr>
          <w:p w14:paraId="12010F90">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数量（次）</w:t>
            </w:r>
          </w:p>
        </w:tc>
        <w:tc>
          <w:tcPr>
            <w:tcW w:w="3462" w:type="dxa"/>
            <w:vAlign w:val="center"/>
          </w:tcPr>
          <w:p w14:paraId="69C4090D">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备注</w:t>
            </w:r>
          </w:p>
        </w:tc>
      </w:tr>
      <w:tr w14:paraId="7A5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37C1F30B">
            <w:pPr>
              <w:spacing w:line="360" w:lineRule="exact"/>
              <w:jc w:val="center"/>
              <w:rPr>
                <w:rFonts w:hint="eastAsia" w:ascii="黑体" w:hAnsi="黑体" w:eastAsia="黑体" w:cs="黑体"/>
                <w:kern w:val="0"/>
                <w:sz w:val="28"/>
                <w:szCs w:val="28"/>
                <w:vertAlign w:val="baseline"/>
                <w:lang w:val="en-US" w:eastAsia="zh-CN"/>
              </w:rPr>
            </w:pPr>
            <w:r>
              <w:rPr>
                <w:rFonts w:hint="eastAsia" w:ascii="黑体" w:hAnsi="黑体" w:eastAsia="黑体" w:cs="黑体"/>
                <w:kern w:val="0"/>
                <w:sz w:val="28"/>
                <w:szCs w:val="28"/>
                <w:vertAlign w:val="baseline"/>
                <w:lang w:val="en-US" w:eastAsia="zh-CN"/>
              </w:rPr>
              <w:t>1</w:t>
            </w:r>
          </w:p>
        </w:tc>
        <w:tc>
          <w:tcPr>
            <w:tcW w:w="1536" w:type="dxa"/>
            <w:shd w:val="clear"/>
            <w:vAlign w:val="center"/>
          </w:tcPr>
          <w:p w14:paraId="5E90A654">
            <w:pPr>
              <w:keepNext w:val="0"/>
              <w:keepLines w:val="0"/>
              <w:widowControl/>
              <w:suppressLineNumbers w:val="0"/>
              <w:jc w:val="center"/>
              <w:textAlignment w:val="center"/>
              <w:rPr>
                <w:rFonts w:hint="eastAsia" w:ascii="黑体" w:hAnsi="黑体" w:eastAsia="黑体" w:cs="黑体"/>
                <w:i w:val="0"/>
                <w:iCs w:val="0"/>
                <w:color w:val="000000"/>
                <w:kern w:val="2"/>
                <w:sz w:val="28"/>
                <w:szCs w:val="28"/>
                <w:u w:val="none"/>
                <w:lang w:val="en-US" w:eastAsia="zh-CN" w:bidi="ar-SA"/>
              </w:rPr>
            </w:pPr>
            <w:r>
              <w:rPr>
                <w:rFonts w:hint="eastAsia" w:ascii="黑体" w:hAnsi="黑体" w:eastAsia="黑体" w:cs="黑体"/>
                <w:i w:val="0"/>
                <w:iCs w:val="0"/>
                <w:color w:val="000000"/>
                <w:kern w:val="0"/>
                <w:sz w:val="28"/>
                <w:szCs w:val="28"/>
                <w:u w:val="none"/>
                <w:lang w:val="en-US" w:eastAsia="zh-CN" w:bidi="ar"/>
              </w:rPr>
              <w:t>磷石膏库环境风险隐患排查水文地质勘察报告</w:t>
            </w:r>
          </w:p>
        </w:tc>
        <w:tc>
          <w:tcPr>
            <w:tcW w:w="3120" w:type="dxa"/>
            <w:shd w:val="clear"/>
            <w:vAlign w:val="center"/>
          </w:tcPr>
          <w:p w14:paraId="762C2835">
            <w:pPr>
              <w:keepNext w:val="0"/>
              <w:keepLines w:val="0"/>
              <w:widowControl/>
              <w:suppressLineNumbers w:val="0"/>
              <w:jc w:val="center"/>
              <w:textAlignment w:val="center"/>
              <w:rPr>
                <w:rFonts w:hint="eastAsia" w:ascii="黑体" w:hAnsi="黑体" w:eastAsia="黑体" w:cs="黑体"/>
                <w:i w:val="0"/>
                <w:iCs w:val="0"/>
                <w:color w:val="000000"/>
                <w:kern w:val="2"/>
                <w:sz w:val="28"/>
                <w:szCs w:val="28"/>
                <w:u w:val="none"/>
                <w:lang w:val="en-US" w:eastAsia="zh-CN" w:bidi="ar-SA"/>
              </w:rPr>
            </w:pPr>
            <w:r>
              <w:rPr>
                <w:rFonts w:hint="eastAsia" w:ascii="黑体" w:hAnsi="黑体" w:eastAsia="黑体" w:cs="黑体"/>
                <w:i w:val="0"/>
                <w:iCs w:val="0"/>
                <w:color w:val="000000"/>
                <w:kern w:val="0"/>
                <w:sz w:val="28"/>
                <w:szCs w:val="28"/>
                <w:u w:val="none"/>
                <w:lang w:val="en-US" w:eastAsia="zh-CN" w:bidi="ar"/>
              </w:rPr>
              <w:t>根据《四川宏达股份有限公司什邡磷化工分公司磷石膏库环境风险隐患排查水文地质勘察任务书》</w:t>
            </w:r>
          </w:p>
        </w:tc>
        <w:tc>
          <w:tcPr>
            <w:tcW w:w="924" w:type="dxa"/>
            <w:vAlign w:val="center"/>
          </w:tcPr>
          <w:p w14:paraId="702B1350">
            <w:pPr>
              <w:spacing w:line="360" w:lineRule="exact"/>
              <w:jc w:val="center"/>
              <w:rPr>
                <w:rFonts w:hint="eastAsia" w:ascii="黑体" w:hAnsi="黑体" w:eastAsia="黑体" w:cs="黑体"/>
                <w:kern w:val="0"/>
                <w:sz w:val="28"/>
                <w:szCs w:val="28"/>
                <w:vertAlign w:val="baseline"/>
                <w:lang w:val="en-US" w:eastAsia="zh-CN"/>
              </w:rPr>
            </w:pPr>
            <w:r>
              <w:rPr>
                <w:rFonts w:hint="eastAsia" w:ascii="黑体" w:hAnsi="黑体" w:eastAsia="黑体" w:cs="黑体"/>
                <w:kern w:val="0"/>
                <w:sz w:val="28"/>
                <w:szCs w:val="28"/>
                <w:vertAlign w:val="baseline"/>
                <w:lang w:val="en-US" w:eastAsia="zh-CN"/>
              </w:rPr>
              <w:t xml:space="preserve">1 </w:t>
            </w:r>
          </w:p>
        </w:tc>
        <w:tc>
          <w:tcPr>
            <w:tcW w:w="3462" w:type="dxa"/>
            <w:vAlign w:val="center"/>
          </w:tcPr>
          <w:p w14:paraId="1597C12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委托有“水文地质勘查专业资质”的单位开展水文地质勘察，并编制《磷石膏库环境风险隐患排查水文地质勘察报告》。</w:t>
            </w:r>
          </w:p>
        </w:tc>
      </w:tr>
    </w:tbl>
    <w:p w14:paraId="574F6158">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洛水镇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完成时间</w:t>
      </w:r>
      <w:r>
        <w:rPr>
          <w:rFonts w:hint="eastAsia" w:ascii="黑体" w:hAnsi="黑体" w:eastAsia="黑体" w:cs="宋体"/>
          <w:kern w:val="0"/>
          <w:sz w:val="28"/>
          <w:szCs w:val="28"/>
        </w:rPr>
        <w:t>：</w:t>
      </w:r>
      <w:r>
        <w:rPr>
          <w:rFonts w:hint="eastAsia" w:ascii="黑体" w:hAnsi="黑体" w:eastAsia="黑体" w:cs="Times New Roman"/>
          <w:sz w:val="28"/>
          <w:szCs w:val="28"/>
        </w:rPr>
        <w:t>2025年9月18日前</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出具报告后付款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w:t>
      </w:r>
      <w:r>
        <w:rPr>
          <w:rFonts w:hint="eastAsia" w:ascii="黑体" w:hAnsi="黑体" w:eastAsia="黑体" w:cs="宋体"/>
          <w:kern w:val="0"/>
          <w:sz w:val="28"/>
          <w:szCs w:val="28"/>
        </w:rPr>
        <w:t>%)。</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9月3日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w:t>
      </w:r>
      <w:r>
        <w:rPr>
          <w:rFonts w:hint="eastAsia" w:ascii="黑体" w:hAnsi="黑体" w:eastAsia="黑体" w:cs="黑体"/>
          <w:sz w:val="28"/>
          <w:szCs w:val="28"/>
          <w:lang w:val="en-US" w:eastAsia="zh-CN"/>
        </w:rPr>
        <w:t>完成时间</w:t>
      </w:r>
      <w:r>
        <w:rPr>
          <w:rFonts w:hint="eastAsia" w:ascii="黑体" w:hAnsi="黑体" w:eastAsia="黑体" w:cs="黑体"/>
          <w:sz w:val="28"/>
          <w:szCs w:val="28"/>
        </w:rPr>
        <w:t>、付款方式等（若询价约定的标的物</w:t>
      </w:r>
      <w:r>
        <w:rPr>
          <w:rFonts w:hint="eastAsia" w:ascii="黑体" w:hAnsi="黑体" w:eastAsia="黑体" w:cs="黑体"/>
          <w:sz w:val="28"/>
          <w:szCs w:val="28"/>
          <w:lang w:val="en-US" w:eastAsia="zh-CN"/>
        </w:rPr>
        <w:t>完成时间</w:t>
      </w:r>
      <w:r>
        <w:rPr>
          <w:rFonts w:hint="eastAsia" w:ascii="黑体" w:hAnsi="黑体" w:eastAsia="黑体" w:cs="黑体"/>
          <w:sz w:val="28"/>
          <w:szCs w:val="28"/>
        </w:rPr>
        <w:t>、付款方式</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69FC0ABF">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C2DC8B1">
      <w:pPr>
        <w:numPr>
          <w:ilvl w:val="0"/>
          <w:numId w:val="0"/>
        </w:numPr>
        <w:spacing w:line="420" w:lineRule="exact"/>
        <w:ind w:leftChars="0"/>
        <w:rPr>
          <w:rFonts w:hint="default" w:ascii="黑体" w:hAnsi="黑体" w:eastAsia="黑体" w:cs="仿宋_GB2312"/>
          <w:sz w:val="28"/>
          <w:szCs w:val="28"/>
          <w:lang w:val="en-US" w:eastAsia="zh-CN"/>
        </w:rPr>
      </w:pPr>
      <w:r>
        <w:rPr>
          <w:rFonts w:hint="default" w:ascii="Calibri" w:hAnsi="Calibri" w:eastAsia="黑体" w:cs="Calibri"/>
          <w:sz w:val="28"/>
          <w:szCs w:val="28"/>
          <w:lang w:val="en-US" w:eastAsia="zh-CN"/>
        </w:rPr>
        <w:t>②</w:t>
      </w:r>
      <w:r>
        <w:rPr>
          <w:rFonts w:hint="eastAsia" w:ascii="黑体" w:hAnsi="黑体" w:eastAsia="黑体" w:cs="仿宋_GB2312"/>
          <w:sz w:val="28"/>
          <w:szCs w:val="28"/>
          <w:lang w:val="en-US" w:eastAsia="zh-CN"/>
        </w:rPr>
        <w:t>水文地质勘查专业资质。</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w:t>
      </w:r>
      <w:r>
        <w:rPr>
          <w:rFonts w:hint="eastAsia" w:ascii="黑体" w:hAnsi="黑体" w:eastAsia="黑体" w:cs="Times New Roman"/>
          <w:sz w:val="28"/>
          <w:szCs w:val="28"/>
        </w:rPr>
        <w:t>进行验收。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8</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28</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303149804"/>
      <w:bookmarkStart w:id="4" w:name="_Toc274236999"/>
      <w:bookmarkStart w:id="5" w:name="_Toc274596702"/>
      <w:bookmarkStart w:id="6" w:name="_Toc275019290"/>
      <w:bookmarkStart w:id="7" w:name="_Toc275014947"/>
      <w:bookmarkStart w:id="8" w:name="_Toc16684"/>
      <w:bookmarkStart w:id="9" w:name="_Toc269113527"/>
      <w:bookmarkStart w:id="10" w:name="_Toc275019836"/>
      <w:bookmarkStart w:id="11" w:name="_Toc238797630"/>
      <w:bookmarkStart w:id="12" w:name="_Toc275019684"/>
      <w:bookmarkStart w:id="13" w:name="_Toc238552273"/>
      <w:bookmarkStart w:id="14" w:name="_Toc268793030"/>
      <w:bookmarkStart w:id="15" w:name="_Toc318986166"/>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244B9658">
      <w:pPr>
        <w:ind w:firstLine="4337" w:firstLineChars="1200"/>
        <w:jc w:val="both"/>
        <w:rPr>
          <w:rFonts w:hint="eastAsia" w:ascii="宋体" w:hAnsi="宋体"/>
          <w:b/>
          <w:bCs/>
          <w:color w:val="auto"/>
          <w:sz w:val="36"/>
          <w:szCs w:val="36"/>
          <w:lang w:val="en-US" w:eastAsia="zh-CN"/>
        </w:rPr>
      </w:pPr>
    </w:p>
    <w:p w14:paraId="61121081">
      <w:pPr>
        <w:ind w:firstLine="4337" w:firstLineChars="1200"/>
        <w:jc w:val="both"/>
        <w:rPr>
          <w:rFonts w:hint="eastAsia" w:ascii="宋体" w:hAnsi="宋体"/>
          <w:b/>
          <w:bCs/>
          <w:color w:val="auto"/>
          <w:sz w:val="36"/>
          <w:szCs w:val="36"/>
          <w:lang w:val="en-US" w:eastAsia="zh-CN"/>
        </w:rPr>
      </w:pPr>
    </w:p>
    <w:p w14:paraId="0A86FEC5">
      <w:pPr>
        <w:ind w:firstLine="4337" w:firstLineChars="1200"/>
        <w:jc w:val="both"/>
        <w:rPr>
          <w:rFonts w:hint="eastAsia" w:ascii="宋体" w:hAnsi="宋体"/>
          <w:b/>
          <w:bCs/>
          <w:color w:val="auto"/>
          <w:sz w:val="36"/>
          <w:szCs w:val="36"/>
          <w:lang w:val="en-US" w:eastAsia="zh-CN"/>
        </w:rPr>
      </w:pPr>
    </w:p>
    <w:p w14:paraId="7DAEAE83">
      <w:pPr>
        <w:ind w:firstLine="4337" w:firstLineChars="1200"/>
        <w:jc w:val="both"/>
        <w:rPr>
          <w:rFonts w:hint="eastAsia" w:ascii="宋体" w:hAnsi="宋体"/>
          <w:b/>
          <w:bCs/>
          <w:color w:val="auto"/>
          <w:sz w:val="36"/>
          <w:szCs w:val="36"/>
          <w:lang w:val="en-US" w:eastAsia="zh-CN"/>
        </w:rPr>
      </w:pPr>
    </w:p>
    <w:p w14:paraId="44694D0E">
      <w:pPr>
        <w:ind w:firstLine="4337" w:firstLineChars="1200"/>
        <w:jc w:val="both"/>
        <w:rPr>
          <w:rFonts w:hint="eastAsia" w:ascii="宋体" w:hAnsi="宋体"/>
          <w:b/>
          <w:bCs/>
          <w:color w:val="auto"/>
          <w:sz w:val="36"/>
          <w:szCs w:val="36"/>
          <w:lang w:val="en-US" w:eastAsia="zh-CN"/>
        </w:rPr>
      </w:pPr>
    </w:p>
    <w:p w14:paraId="6D354E6E">
      <w:pPr>
        <w:ind w:firstLine="4337" w:firstLineChars="1200"/>
        <w:jc w:val="both"/>
        <w:rPr>
          <w:rFonts w:hint="eastAsia" w:ascii="宋体" w:hAnsi="宋体"/>
          <w:b/>
          <w:bCs/>
          <w:color w:val="auto"/>
          <w:sz w:val="36"/>
          <w:szCs w:val="36"/>
          <w:lang w:val="en-US" w:eastAsia="zh-CN"/>
        </w:rPr>
      </w:pPr>
    </w:p>
    <w:p w14:paraId="1047481E">
      <w:pPr>
        <w:ind w:firstLine="4337" w:firstLineChars="1200"/>
        <w:jc w:val="both"/>
        <w:rPr>
          <w:rFonts w:hint="eastAsia" w:ascii="宋体" w:hAnsi="宋体"/>
          <w:b/>
          <w:bCs/>
          <w:color w:val="auto"/>
          <w:sz w:val="36"/>
          <w:szCs w:val="36"/>
          <w:lang w:val="en-US" w:eastAsia="zh-CN"/>
        </w:rPr>
      </w:pPr>
    </w:p>
    <w:p w14:paraId="502ADF07">
      <w:pPr>
        <w:ind w:firstLine="4337" w:firstLineChars="1200"/>
        <w:jc w:val="both"/>
        <w:rPr>
          <w:rFonts w:hint="eastAsia" w:ascii="宋体" w:hAnsi="宋体"/>
          <w:b/>
          <w:bCs/>
          <w:color w:val="auto"/>
          <w:sz w:val="36"/>
          <w:szCs w:val="36"/>
          <w:lang w:val="en-US" w:eastAsia="zh-CN"/>
        </w:rPr>
      </w:pPr>
    </w:p>
    <w:p w14:paraId="43323566">
      <w:pPr>
        <w:ind w:firstLine="4337" w:firstLineChars="1200"/>
        <w:jc w:val="both"/>
        <w:rPr>
          <w:rFonts w:hint="eastAsia" w:ascii="宋体" w:hAnsi="宋体"/>
          <w:b/>
          <w:bCs/>
          <w:color w:val="auto"/>
          <w:sz w:val="36"/>
          <w:szCs w:val="36"/>
          <w:lang w:val="en-US" w:eastAsia="zh-CN"/>
        </w:rPr>
      </w:pPr>
    </w:p>
    <w:p w14:paraId="02CA6111">
      <w:pPr>
        <w:ind w:firstLine="4337" w:firstLineChars="1200"/>
        <w:jc w:val="both"/>
        <w:rPr>
          <w:rFonts w:hint="eastAsia" w:ascii="宋体" w:hAnsi="宋体"/>
          <w:b/>
          <w:bCs/>
          <w:color w:val="auto"/>
          <w:sz w:val="36"/>
          <w:szCs w:val="36"/>
          <w:lang w:val="en-US" w:eastAsia="zh-CN"/>
        </w:rPr>
      </w:pPr>
    </w:p>
    <w:p w14:paraId="4E02DEF4">
      <w:pPr>
        <w:ind w:firstLine="4337" w:firstLineChars="1200"/>
        <w:jc w:val="both"/>
        <w:rPr>
          <w:rFonts w:hint="eastAsia" w:ascii="宋体" w:hAnsi="宋体"/>
          <w:b/>
          <w:bCs/>
          <w:color w:val="auto"/>
          <w:sz w:val="36"/>
          <w:szCs w:val="36"/>
          <w:lang w:val="en-US" w:eastAsia="zh-CN"/>
        </w:rPr>
      </w:pPr>
    </w:p>
    <w:bookmarkEnd w:id="2"/>
    <w:bookmarkEnd w:id="3"/>
    <w:bookmarkEnd w:id="4"/>
    <w:bookmarkEnd w:id="5"/>
    <w:bookmarkEnd w:id="6"/>
    <w:bookmarkEnd w:id="7"/>
    <w:bookmarkEnd w:id="8"/>
    <w:bookmarkEnd w:id="9"/>
    <w:bookmarkEnd w:id="10"/>
    <w:bookmarkEnd w:id="11"/>
    <w:bookmarkEnd w:id="12"/>
    <w:bookmarkEnd w:id="13"/>
    <w:bookmarkEnd w:id="14"/>
    <w:bookmarkEnd w:id="15"/>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第二章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038AF0B6">
      <w:pPr>
        <w:kinsoku/>
        <w:overflowPunct/>
        <w:topLinePunct w:val="0"/>
        <w:bidi w:val="0"/>
        <w:ind w:left="0" w:leftChars="0" w:right="0" w:rightChars="0" w:firstLine="643" w:firstLineChars="200"/>
        <w:jc w:val="center"/>
        <w:rPr>
          <w:rFonts w:hint="eastAsia" w:ascii="黑体" w:eastAsia="黑体"/>
          <w:color w:val="auto"/>
          <w:sz w:val="84"/>
          <w:szCs w:val="84"/>
        </w:rPr>
      </w:pPr>
      <w:r>
        <w:rPr>
          <w:rFonts w:hint="eastAsia" w:ascii="黑体" w:hAnsi="黑体" w:eastAsia="黑体" w:cs="Segoe UI"/>
          <w:b/>
          <w:bCs/>
          <w:color w:val="000000"/>
          <w:kern w:val="0"/>
          <w:sz w:val="32"/>
          <w:szCs w:val="32"/>
          <w:lang w:val="en-US" w:eastAsia="zh-CN"/>
        </w:rPr>
        <w:t>磷石膏库环境风险隐患排查水文地质勘察报告</w:t>
      </w: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6" w:name="_Toc9978"/>
      <w:bookmarkStart w:id="17" w:name="_Toc4384"/>
      <w:bookmarkStart w:id="18" w:name="_Toc3019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6"/>
      <w:bookmarkEnd w:id="17"/>
      <w:bookmarkEnd w:id="18"/>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2"/>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737"/>
        <w:gridCol w:w="2388"/>
        <w:gridCol w:w="1476"/>
        <w:gridCol w:w="3036"/>
      </w:tblGrid>
      <w:tr w14:paraId="4F20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7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388"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技术参数</w:t>
            </w:r>
          </w:p>
        </w:tc>
        <w:tc>
          <w:tcPr>
            <w:tcW w:w="1476"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数量（次）</w:t>
            </w:r>
          </w:p>
        </w:tc>
        <w:tc>
          <w:tcPr>
            <w:tcW w:w="3036"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含税报价（元/次）</w:t>
            </w:r>
          </w:p>
        </w:tc>
      </w:tr>
      <w:tr w14:paraId="7F24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737"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b/>
                <w:bCs/>
                <w:color w:val="000000"/>
                <w:kern w:val="0"/>
                <w:sz w:val="28"/>
                <w:szCs w:val="28"/>
                <w:lang w:val="en-US" w:eastAsia="zh-CN"/>
              </w:rPr>
              <w:t>磷石膏库环境风险隐患排查水文地质勘察报告</w:t>
            </w:r>
          </w:p>
        </w:tc>
        <w:tc>
          <w:tcPr>
            <w:tcW w:w="2388" w:type="dxa"/>
            <w:vAlign w:val="center"/>
          </w:tcPr>
          <w:p w14:paraId="572D3902">
            <w:pPr>
              <w:keepNext w:val="0"/>
              <w:keepLines w:val="0"/>
              <w:widowControl/>
              <w:suppressLineNumbers w:val="0"/>
              <w:jc w:val="center"/>
              <w:textAlignment w:val="center"/>
              <w:rPr>
                <w:rFonts w:hint="eastAsia" w:ascii="黑体" w:hAnsi="黑体" w:eastAsia="黑体" w:cs="宋体"/>
                <w:kern w:val="0"/>
                <w:sz w:val="28"/>
                <w:szCs w:val="28"/>
                <w:vertAlign w:val="baseline"/>
              </w:rPr>
            </w:pPr>
            <w:r>
              <w:rPr>
                <w:rFonts w:hint="eastAsia" w:ascii="黑体" w:hAnsi="黑体" w:eastAsia="黑体" w:cs="黑体"/>
                <w:i w:val="0"/>
                <w:iCs w:val="0"/>
                <w:color w:val="000000"/>
                <w:kern w:val="0"/>
                <w:sz w:val="28"/>
                <w:szCs w:val="28"/>
                <w:u w:val="none"/>
                <w:lang w:val="en-US" w:eastAsia="zh-CN" w:bidi="ar"/>
              </w:rPr>
              <w:t>根据《四川宏达股份有限公司什邡磷化工分公司磷石膏库环境风险隐患排查水文地质勘察任务书》</w:t>
            </w:r>
          </w:p>
        </w:tc>
        <w:tc>
          <w:tcPr>
            <w:tcW w:w="1476"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3036" w:type="dxa"/>
            <w:vAlign w:val="center"/>
          </w:tcPr>
          <w:p w14:paraId="189E9100">
            <w:pPr>
              <w:spacing w:line="360" w:lineRule="exact"/>
              <w:jc w:val="center"/>
              <w:rPr>
                <w:rFonts w:hint="eastAsia" w:ascii="黑体" w:hAnsi="黑体" w:eastAsia="黑体" w:cs="宋体"/>
                <w:kern w:val="0"/>
                <w:sz w:val="28"/>
                <w:szCs w:val="28"/>
                <w:vertAlign w:val="baseline"/>
                <w:lang w:val="en-US" w:eastAsia="zh-CN"/>
              </w:rPr>
            </w:pPr>
            <w:bookmarkStart w:id="19" w:name="_GoBack"/>
            <w:bookmarkEnd w:id="19"/>
          </w:p>
        </w:tc>
      </w:tr>
    </w:tbl>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eastAsiaTheme="minorEastAsia" w:cstheme="minorBidi"/>
          <w:color w:val="auto"/>
          <w:kern w:val="2"/>
          <w:sz w:val="24"/>
          <w:szCs w:val="24"/>
          <w:lang w:val="en-US" w:eastAsia="zh-CN" w:bidi="ar-SA"/>
        </w:rPr>
        <w:t>完成时间</w:t>
      </w:r>
      <w:r>
        <w:rPr>
          <w:rFonts w:hint="eastAsia" w:ascii="宋体" w:hAnsi="宋体" w:eastAsiaTheme="minorEastAsia" w:cstheme="minorBidi"/>
          <w:color w:val="auto"/>
          <w:kern w:val="2"/>
          <w:sz w:val="24"/>
          <w:szCs w:val="24"/>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0B8FD28D">
      <w:pPr>
        <w:keepNext w:val="0"/>
        <w:keepLines w:val="0"/>
        <w:pageBreakBefore w:val="0"/>
        <w:widowControl/>
        <w:numPr>
          <w:ilvl w:val="0"/>
          <w:numId w:val="2"/>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3</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6DC6B7AC">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96E0291">
      <w:pPr>
        <w:kinsoku/>
        <w:overflowPunct/>
        <w:topLinePunct w:val="0"/>
        <w:bidi w:val="0"/>
        <w:spacing w:line="360" w:lineRule="auto"/>
        <w:ind w:right="0" w:rightChars="0" w:firstLine="3654" w:firstLineChars="130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56931BE7">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10E7C3C"/>
    <w:rsid w:val="11625F1D"/>
    <w:rsid w:val="120F5BA7"/>
    <w:rsid w:val="1235718D"/>
    <w:rsid w:val="128A3A09"/>
    <w:rsid w:val="12A6008B"/>
    <w:rsid w:val="12D009A7"/>
    <w:rsid w:val="13C54541"/>
    <w:rsid w:val="14676D7E"/>
    <w:rsid w:val="14C338A3"/>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A97B6C"/>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992C6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2A95881"/>
    <w:rsid w:val="43243278"/>
    <w:rsid w:val="435B56FC"/>
    <w:rsid w:val="43884ABF"/>
    <w:rsid w:val="447B5CAA"/>
    <w:rsid w:val="44A00219"/>
    <w:rsid w:val="450A0C36"/>
    <w:rsid w:val="45367494"/>
    <w:rsid w:val="45877724"/>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1553</Words>
  <Characters>1687</Characters>
  <Lines>16</Lines>
  <Paragraphs>4</Paragraphs>
  <TotalTime>6</TotalTime>
  <ScaleCrop>false</ScaleCrop>
  <LinksUpToDate>false</LinksUpToDate>
  <CharactersWithSpaces>2626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2025-08-27T17:00:07Z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2052-12.1.0.21915</vt:lpwstr>
  </property>
  <property fmtid="{D5CDD505-2E9C-101B-9397-08002B2CF9AE}" pid="4" name="ICV">
    <vt:lpwstr>638278A91B6247A3A14F33886A0DB3EB_13</vt:lpwstr>
  </property>
</Properties>
</file>