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有色金属分公司PE储罐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编号：YS-GKBX-2025-HW36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有色金属分公司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PE储罐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编号：YS-GKBX-2025-HW36 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由四川宏达股份有限公司什邡有色金属分公司因生产需采购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PE储罐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PE储罐采购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PE储罐1台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79"/>
        <w:gridCol w:w="4025"/>
        <w:gridCol w:w="1538"/>
        <w:gridCol w:w="161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95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9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025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38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616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9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PE储罐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62C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容积20000L ，立式，罐体厚度厂家设计，保证足够强度，放置场地尺寸 能放下直径：2600-3000mm，高度4000mm以下，需要加强环。介质：氯离子120-140g/L 含酸30g/L 常温 管口方位见图</w:t>
            </w:r>
          </w:p>
        </w:tc>
        <w:tc>
          <w:tcPr>
            <w:tcW w:w="1538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1616" w:type="dxa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铅富集铟工序铟置换后液改造</w:t>
            </w:r>
          </w:p>
        </w:tc>
      </w:tr>
    </w:tbl>
    <w:p w14:paraId="574F615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8月28日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  <w:bookmarkStart w:id="20" w:name="_GoBack"/>
      <w:bookmarkEnd w:id="20"/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3A97C40E">
      <w:pPr>
        <w:spacing w:line="3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PE储罐相关资料（图片、参数说明等）。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69113527"/>
      <w:bookmarkStart w:id="4" w:name="_Toc303149804"/>
      <w:bookmarkStart w:id="5" w:name="_Toc238797630"/>
      <w:bookmarkStart w:id="6" w:name="_Toc238552273"/>
      <w:bookmarkStart w:id="7" w:name="_Toc275019684"/>
      <w:bookmarkStart w:id="8" w:name="_Toc318986166"/>
      <w:bookmarkStart w:id="9" w:name="_Toc274236999"/>
      <w:bookmarkStart w:id="10" w:name="_Toc275019836"/>
      <w:bookmarkStart w:id="11" w:name="_Toc275014947"/>
      <w:bookmarkStart w:id="12" w:name="_Toc16684"/>
      <w:bookmarkStart w:id="13" w:name="_Toc274596702"/>
      <w:bookmarkStart w:id="14" w:name="_Toc275019290"/>
      <w:bookmarkStart w:id="15" w:name="_Toc268793030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ADF0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332356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2CA611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F91F571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cs="黑体" w:asciiTheme="minorEastAsia" w:hAnsiTheme="minorEastAsia"/>
          <w:sz w:val="24"/>
          <w:szCs w:val="24"/>
          <w:lang w:val="en-US" w:eastAsia="zh-CN"/>
        </w:rPr>
        <w:t>PE储罐</w:t>
      </w:r>
      <w:r>
        <w:rPr>
          <w:rFonts w:hint="eastAsia" w:cs="黑体" w:asciiTheme="minorEastAsia" w:hAnsiTheme="minorEastAsia"/>
          <w:sz w:val="24"/>
          <w:szCs w:val="24"/>
        </w:rPr>
        <w:t>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116" w:type="dxa"/>
        <w:tblInd w:w="-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36"/>
        <w:gridCol w:w="852"/>
        <w:gridCol w:w="780"/>
        <w:gridCol w:w="1176"/>
        <w:gridCol w:w="912"/>
        <w:gridCol w:w="1032"/>
        <w:gridCol w:w="1308"/>
        <w:gridCol w:w="1596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jc w:val="center"/>
              <w:rPr>
                <w:rFonts w:hint="default" w:cs="黑体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PE储罐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20000L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2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150EB9E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1、质量要求：执行国家现行法律法规及行业相关标准，且满足买方使用要求。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有色金属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分公司指定地点（四川省什邡市</w:t>
      </w:r>
      <w:r>
        <w:rPr>
          <w:rFonts w:hint="eastAsia" w:cs="黑体" w:asciiTheme="minorEastAsia" w:hAnsiTheme="minorEastAsia"/>
          <w:color w:val="000000"/>
          <w:sz w:val="24"/>
          <w:szCs w:val="24"/>
          <w:lang w:val="en-US" w:eastAsia="zh-CN"/>
        </w:rPr>
        <w:t>师古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600" w:firstLineChars="10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PE储罐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9978"/>
      <w:bookmarkStart w:id="18" w:name="_Toc30198"/>
      <w:bookmarkStart w:id="19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37"/>
        <w:gridCol w:w="2281"/>
        <w:gridCol w:w="1403"/>
        <w:gridCol w:w="1893"/>
        <w:gridCol w:w="1698"/>
      </w:tblGrid>
      <w:tr w14:paraId="0807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7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81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03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893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报价（元/台）</w:t>
            </w:r>
          </w:p>
        </w:tc>
        <w:tc>
          <w:tcPr>
            <w:tcW w:w="1698" w:type="dxa"/>
            <w:vAlign w:val="center"/>
          </w:tcPr>
          <w:p w14:paraId="1A6DC298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罐体厚度</w:t>
            </w:r>
          </w:p>
        </w:tc>
      </w:tr>
      <w:tr w14:paraId="19E1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7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PE储罐</w:t>
            </w:r>
          </w:p>
        </w:tc>
        <w:tc>
          <w:tcPr>
            <w:tcW w:w="2281" w:type="dxa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20000L</w:t>
            </w:r>
          </w:p>
        </w:tc>
        <w:tc>
          <w:tcPr>
            <w:tcW w:w="1403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3" w:type="dxa"/>
            <w:vAlign w:val="center"/>
          </w:tcPr>
          <w:p w14:paraId="189E910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0233FB2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 </w:t>
      </w:r>
    </w:p>
    <w:p w14:paraId="6DC6B7AC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PE储罐相关资料（图片、参数说明等）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9F7119F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702ABB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8F57E1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927</Words>
  <Characters>1070</Characters>
  <Lines>16</Lines>
  <Paragraphs>4</Paragraphs>
  <TotalTime>23</TotalTime>
  <ScaleCrop>false</ScaleCrop>
  <LinksUpToDate>false</LinksUpToDate>
  <CharactersWithSpaces>1141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2025-08-22T00:46:03Z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