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972B9">
      <w:pPr>
        <w:autoSpaceDE w:val="0"/>
        <w:autoSpaceDN w:val="0"/>
        <w:adjustRightInd w:val="0"/>
        <w:spacing w:before="100" w:after="100"/>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四川宏达股份有限公司</w:t>
      </w:r>
    </w:p>
    <w:p w14:paraId="3E5A19FE">
      <w:pPr>
        <w:autoSpaceDE w:val="0"/>
        <w:autoSpaceDN w:val="0"/>
        <w:adjustRightInd w:val="0"/>
        <w:spacing w:before="100" w:after="100"/>
        <w:jc w:val="center"/>
        <w:rPr>
          <w:rFonts w:cs="黑体" w:asciiTheme="minorEastAsia" w:hAnsiTheme="minorEastAsia" w:eastAsiaTheme="minorEastAsia"/>
          <w:color w:val="auto"/>
          <w:sz w:val="84"/>
          <w:szCs w:val="84"/>
          <w:highlight w:val="none"/>
          <w:lang w:val="zh-CN"/>
        </w:rPr>
      </w:pPr>
      <w:r>
        <w:rPr>
          <w:rFonts w:hint="eastAsia" w:ascii="宋体" w:hAnsi="宋体" w:eastAsia="宋体" w:cs="宋体"/>
          <w:b/>
          <w:bCs/>
          <w:color w:val="auto"/>
          <w:sz w:val="48"/>
          <w:szCs w:val="48"/>
          <w:highlight w:val="none"/>
          <w:lang w:val="en-US" w:eastAsia="zh-CN"/>
        </w:rPr>
        <w:t>职业病危害现状评价报告采购</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5"/>
        <w:rPr>
          <w:rFonts w:hint="eastAsia" w:asciiTheme="minorEastAsia" w:hAnsiTheme="minorEastAsia" w:eastAsiaTheme="minorEastAsia"/>
          <w:b/>
          <w:color w:val="auto"/>
          <w:kern w:val="0"/>
          <w:sz w:val="72"/>
          <w:szCs w:val="72"/>
          <w:highlight w:val="none"/>
        </w:rPr>
      </w:pPr>
    </w:p>
    <w:p w14:paraId="33D068A5">
      <w:pPr>
        <w:pStyle w:val="11"/>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1"/>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编号：YS-GKBX-2025-FW34</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25</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8</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19</w:t>
      </w:r>
      <w:r>
        <w:rPr>
          <w:rFonts w:hint="eastAsia" w:cs="黑体" w:asciiTheme="minorEastAsia" w:hAnsiTheme="minorEastAsia" w:eastAsiaTheme="minorEastAsia"/>
          <w:b/>
          <w:bCs/>
          <w:color w:val="auto"/>
          <w:sz w:val="30"/>
          <w:szCs w:val="30"/>
          <w:highlight w:val="none"/>
          <w:lang w:val="en-US" w:eastAsia="zh-CN"/>
        </w:rPr>
        <w:t>日</w:t>
      </w:r>
    </w:p>
    <w:p w14:paraId="2E01371C">
      <w:pPr>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rPr>
        <w:t>四川宏达股份有限公司</w:t>
      </w:r>
    </w:p>
    <w:p w14:paraId="3C2905FA">
      <w:pPr>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职业病危害现状评价报告</w:t>
      </w:r>
      <w:r>
        <w:rPr>
          <w:rFonts w:hint="eastAsia" w:ascii="黑体" w:hAnsi="黑体" w:eastAsia="黑体" w:cs="宋体"/>
          <w:b/>
          <w:color w:val="auto"/>
          <w:kern w:val="0"/>
          <w:sz w:val="32"/>
          <w:szCs w:val="32"/>
        </w:rPr>
        <w:t>采购比选</w:t>
      </w:r>
      <w:r>
        <w:rPr>
          <w:rFonts w:hint="eastAsia" w:ascii="黑体" w:hAnsi="黑体" w:eastAsia="黑体" w:cs="宋体"/>
          <w:b/>
          <w:color w:val="auto"/>
          <w:kern w:val="0"/>
          <w:sz w:val="32"/>
          <w:szCs w:val="32"/>
          <w:lang w:val="en-US" w:eastAsia="zh-CN"/>
        </w:rPr>
        <w:t>文件</w:t>
      </w:r>
    </w:p>
    <w:p w14:paraId="4D403B75">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编号：YS-GKBX-2025-FW34</w:t>
      </w: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7A46ECDF">
      <w:pPr>
        <w:spacing w:line="360" w:lineRule="exact"/>
        <w:ind w:firstLine="560" w:firstLineChars="200"/>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由四川宏达股份有限公司有色金属分公司因生产需对职业病危害现状评价报告采购，本着“公开、公平、公正”的原则，现对职业病危害现状评价报告进行公开比选</w:t>
      </w:r>
      <w:r>
        <w:rPr>
          <w:rFonts w:hint="eastAsia" w:ascii="黑体" w:hAnsi="黑体" w:eastAsia="黑体" w:cs="宋体"/>
          <w:color w:val="auto"/>
          <w:kern w:val="0"/>
          <w:sz w:val="28"/>
          <w:szCs w:val="28"/>
        </w:rPr>
        <w:t>。欢迎贵公司前来报价，现将相关事项公告如下：</w:t>
      </w:r>
    </w:p>
    <w:p w14:paraId="3C4DF528">
      <w:pPr>
        <w:numPr>
          <w:ilvl w:val="0"/>
          <w:numId w:val="1"/>
        </w:num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宋体"/>
          <w:color w:val="auto"/>
          <w:kern w:val="0"/>
          <w:sz w:val="28"/>
          <w:szCs w:val="28"/>
        </w:rPr>
        <w:t>标的物：</w:t>
      </w:r>
      <w:r>
        <w:rPr>
          <w:rFonts w:hint="eastAsia" w:ascii="黑体" w:hAnsi="黑体" w:eastAsia="黑体" w:cs="宋体"/>
          <w:color w:val="auto"/>
          <w:kern w:val="0"/>
          <w:sz w:val="28"/>
          <w:szCs w:val="28"/>
          <w:lang w:val="en-US" w:eastAsia="zh-CN"/>
        </w:rPr>
        <w:t>职业病危害现状评价报告</w:t>
      </w:r>
    </w:p>
    <w:p w14:paraId="3189E225">
      <w:pPr>
        <w:numPr>
          <w:ilvl w:val="0"/>
          <w:numId w:val="0"/>
        </w:num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二、比选人：四川宏达股份有限公司</w:t>
      </w:r>
      <w:r>
        <w:rPr>
          <w:rFonts w:hint="eastAsia" w:ascii="黑体" w:hAnsi="黑体" w:eastAsia="黑体" w:cs="宋体"/>
          <w:color w:val="auto"/>
          <w:kern w:val="0"/>
          <w:sz w:val="28"/>
          <w:szCs w:val="28"/>
          <w:lang w:val="en-US" w:eastAsia="zh-CN"/>
        </w:rPr>
        <w:t>有色金属分公司</w:t>
      </w:r>
      <w:r>
        <w:rPr>
          <w:rFonts w:hint="eastAsia" w:ascii="黑体" w:hAnsi="黑体" w:eastAsia="黑体" w:cs="宋体"/>
          <w:color w:val="auto"/>
          <w:kern w:val="0"/>
          <w:sz w:val="28"/>
          <w:szCs w:val="28"/>
        </w:rPr>
        <w:t xml:space="preserve">  </w:t>
      </w:r>
    </w:p>
    <w:p w14:paraId="67EB3B3D">
      <w:p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三、具体内容及要求：</w:t>
      </w:r>
    </w:p>
    <w:p w14:paraId="6AF89CE7">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1、参与投标的服务单位应当具备下列条件： </w:t>
      </w:r>
    </w:p>
    <w:p w14:paraId="65811F74">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（一）能够独立承担民事责任； </w:t>
      </w:r>
    </w:p>
    <w:p w14:paraId="3188118B">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（二）有固定工作场所，实验室、档案室等场所的面积与所申请资质、业务范围相适应； </w:t>
      </w:r>
    </w:p>
    <w:p w14:paraId="0C4D41C5">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（三）具有符合要求的实验室，具备与所申请资质、业务范围相适应的仪器设备；</w:t>
      </w:r>
    </w:p>
    <w:p w14:paraId="7419A736">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（四）有健全的内部管理制度和质量保证体系； </w:t>
      </w:r>
    </w:p>
    <w:p w14:paraId="34404138">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（五）具有满足学历、专业、技术职称等要求的专业技术人员，专业技术人员不少于十五名； </w:t>
      </w:r>
    </w:p>
    <w:p w14:paraId="59DE28E4">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六）有专职技术负责人和质量控制负责人。专职技术负责人具有高级专业技术职称和三年以上职业卫生相关工作经验，或者中级专业技术职称和八年以上职业卫生相关工作经验。质量控制负责人具有高级专业技术职称和三年以上相关工作经验，或者中级专业技术职称和五年以上相关工作经验； </w:t>
      </w:r>
    </w:p>
    <w:p w14:paraId="2A0FE1F7">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（七）具有与所申请业务范围相适应的检测、评价能力； </w:t>
      </w:r>
    </w:p>
    <w:p w14:paraId="628FB3C0">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（八）截至申请之日五年内无严重违法失信记录； </w:t>
      </w:r>
    </w:p>
    <w:p w14:paraId="3572FFB9">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 xml:space="preserve">（九）正常运行并可以供公众查询信息的网站； </w:t>
      </w:r>
    </w:p>
    <w:p w14:paraId="10377E96">
      <w:pPr>
        <w:spacing w:line="360" w:lineRule="exact"/>
        <w:rPr>
          <w:rFonts w:hint="eastAsia"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（十）法律、行政法规规定的其他条件。</w:t>
      </w:r>
    </w:p>
    <w:p w14:paraId="00932954">
      <w:pPr>
        <w:spacing w:line="360" w:lineRule="exact"/>
        <w:rPr>
          <w:rFonts w:hint="default" w:ascii="黑体" w:hAnsi="黑体" w:eastAsia="黑体" w:cs="宋体"/>
          <w:color w:val="auto"/>
          <w:kern w:val="0"/>
          <w:sz w:val="28"/>
          <w:szCs w:val="28"/>
          <w:lang w:val="en-US" w:eastAsia="zh-CN"/>
        </w:rPr>
      </w:pPr>
      <w:r>
        <w:rPr>
          <w:rFonts w:hint="eastAsia" w:ascii="黑体" w:hAnsi="黑体" w:eastAsia="黑体" w:cs="黑体"/>
          <w:color w:val="auto"/>
          <w:sz w:val="28"/>
          <w:szCs w:val="28"/>
          <w:lang w:val="en-US" w:eastAsia="zh-CN"/>
        </w:rPr>
        <w:t>2.服务</w:t>
      </w:r>
      <w:r>
        <w:rPr>
          <w:rFonts w:hint="eastAsia" w:ascii="黑体" w:hAnsi="黑体" w:eastAsia="黑体" w:cs="宋体"/>
          <w:color w:val="auto"/>
          <w:kern w:val="0"/>
          <w:sz w:val="28"/>
          <w:szCs w:val="28"/>
        </w:rPr>
        <w:t>地点：四川宏达股份有限公司</w:t>
      </w:r>
      <w:r>
        <w:rPr>
          <w:rFonts w:hint="eastAsia" w:ascii="黑体" w:hAnsi="黑体" w:eastAsia="黑体" w:cs="宋体"/>
          <w:color w:val="auto"/>
          <w:kern w:val="0"/>
          <w:sz w:val="28"/>
          <w:szCs w:val="28"/>
          <w:lang w:val="en-US" w:eastAsia="zh-CN"/>
        </w:rPr>
        <w:t>有色金属分公司（什邡市师古镇）</w:t>
      </w:r>
    </w:p>
    <w:p w14:paraId="65D426B4">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3</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lang w:val="en-US" w:eastAsia="zh-CN"/>
        </w:rPr>
        <w:t>服务</w:t>
      </w:r>
      <w:r>
        <w:rPr>
          <w:rFonts w:hint="eastAsia" w:ascii="黑体" w:hAnsi="黑体" w:eastAsia="黑体" w:cs="宋体"/>
          <w:color w:val="auto"/>
          <w:kern w:val="0"/>
          <w:sz w:val="28"/>
          <w:szCs w:val="28"/>
        </w:rPr>
        <w:t>期：</w:t>
      </w:r>
      <w:r>
        <w:rPr>
          <w:rFonts w:hint="eastAsia" w:ascii="黑体" w:hAnsi="黑体" w:eastAsia="黑体" w:cs="Times New Roman"/>
          <w:color w:val="auto"/>
          <w:sz w:val="28"/>
          <w:szCs w:val="28"/>
          <w:lang w:val="en-US" w:eastAsia="zh-CN"/>
        </w:rPr>
        <w:t>2025年11月20日前完成</w:t>
      </w:r>
      <w:r>
        <w:rPr>
          <w:rFonts w:hint="eastAsia" w:ascii="黑体" w:hAnsi="黑体" w:eastAsia="黑体" w:cs="宋体"/>
          <w:color w:val="auto"/>
          <w:kern w:val="1"/>
          <w:sz w:val="28"/>
          <w:szCs w:val="28"/>
        </w:rPr>
        <w:t>。</w:t>
      </w:r>
    </w:p>
    <w:p w14:paraId="318C942C">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4</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color w:val="auto"/>
          <w:sz w:val="28"/>
          <w:szCs w:val="28"/>
          <w:lang w:val="en-US" w:eastAsia="zh-CN"/>
        </w:rPr>
      </w:pPr>
      <w:r>
        <w:rPr>
          <w:rFonts w:hint="eastAsia" w:ascii="黑体" w:hAnsi="黑体" w:eastAsia="黑体" w:cs="黑体"/>
          <w:color w:val="auto"/>
          <w:kern w:val="0"/>
          <w:sz w:val="28"/>
          <w:szCs w:val="28"/>
        </w:rPr>
        <w:t>①</w:t>
      </w:r>
      <w:r>
        <w:rPr>
          <w:rFonts w:hint="eastAsia" w:ascii="黑体" w:hAnsi="黑体" w:eastAsia="黑体" w:cs="Segoe UI"/>
          <w:color w:val="auto"/>
          <w:kern w:val="0"/>
          <w:sz w:val="28"/>
          <w:szCs w:val="28"/>
        </w:rPr>
        <w:t>付款方式</w:t>
      </w:r>
      <w:r>
        <w:rPr>
          <w:rFonts w:hint="eastAsia" w:ascii="黑体" w:hAnsi="黑体" w:eastAsia="黑体" w:cs="Segoe UI"/>
          <w:color w:val="auto"/>
          <w:kern w:val="0"/>
          <w:sz w:val="28"/>
          <w:szCs w:val="28"/>
          <w:lang w:eastAsia="zh-CN"/>
        </w:rPr>
        <w:t>：</w:t>
      </w:r>
      <w:r>
        <w:rPr>
          <w:rFonts w:hint="eastAsia" w:ascii="黑体" w:hAnsi="黑体" w:eastAsia="黑体" w:cs="黑体"/>
          <w:color w:val="auto"/>
          <w:sz w:val="28"/>
          <w:szCs w:val="28"/>
          <w:lang w:eastAsia="zh-CN"/>
        </w:rPr>
        <w:t>以银行电汇或银行电子承兑汇票支付。</w:t>
      </w:r>
    </w:p>
    <w:p w14:paraId="3914BA72">
      <w:pPr>
        <w:spacing w:line="420" w:lineRule="exact"/>
        <w:rPr>
          <w:rFonts w:ascii="黑体" w:hAnsi="黑体" w:eastAsia="黑体" w:cs="宋体"/>
          <w:color w:val="auto"/>
          <w:kern w:val="0"/>
          <w:sz w:val="28"/>
          <w:szCs w:val="28"/>
        </w:rPr>
      </w:pPr>
      <w:r>
        <w:rPr>
          <w:rFonts w:hint="eastAsia" w:ascii="黑体" w:hAnsi="黑体" w:eastAsia="黑体" w:cs="黑体"/>
          <w:color w:val="auto"/>
          <w:kern w:val="0"/>
          <w:sz w:val="28"/>
          <w:szCs w:val="28"/>
        </w:rPr>
        <w:t>②</w:t>
      </w:r>
      <w:r>
        <w:rPr>
          <w:rFonts w:hint="eastAsia" w:ascii="黑体" w:hAnsi="黑体" w:eastAsia="黑体" w:cs="宋体"/>
          <w:color w:val="auto"/>
          <w:kern w:val="0"/>
          <w:sz w:val="28"/>
          <w:szCs w:val="28"/>
        </w:rPr>
        <w:t>一票制，供应商开具全额增值税专用发票(税率</w:t>
      </w:r>
      <w:r>
        <w:rPr>
          <w:rFonts w:hint="eastAsia" w:ascii="黑体" w:hAnsi="黑体" w:eastAsia="黑体" w:cs="宋体"/>
          <w:color w:val="auto"/>
          <w:kern w:val="0"/>
          <w:sz w:val="28"/>
          <w:szCs w:val="28"/>
          <w:lang w:val="en-US" w:eastAsia="zh-CN"/>
        </w:rPr>
        <w:t xml:space="preserve">  </w:t>
      </w:r>
      <w:r>
        <w:rPr>
          <w:rFonts w:hint="eastAsia" w:ascii="黑体" w:hAnsi="黑体" w:eastAsia="黑体" w:cs="宋体"/>
          <w:color w:val="auto"/>
          <w:kern w:val="0"/>
          <w:sz w:val="28"/>
          <w:szCs w:val="28"/>
        </w:rPr>
        <w:t>%)。</w:t>
      </w:r>
    </w:p>
    <w:p w14:paraId="6F201807">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 xml:space="preserve">获取方式为：自 2025年8月19日16时 00 分至 2025年 8月22日 15时 00 分通过四川宏达股份有限公司集采中心招投标平台(以下简称“ 宏达股份集采平台”）（http://jc.sichuanhongda.com/）进行注册并登录后参与投标并下载比选文件。 </w:t>
      </w:r>
    </w:p>
    <w:p w14:paraId="504767B0">
      <w:pPr>
        <w:numPr>
          <w:ilvl w:val="0"/>
          <w:numId w:val="2"/>
        </w:numPr>
        <w:spacing w:line="420" w:lineRule="exact"/>
        <w:ind w:left="0" w:leftChars="0" w:firstLine="0" w:firstLine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响应性文件的递交</w:t>
      </w:r>
    </w:p>
    <w:p w14:paraId="03D00619">
      <w:pPr>
        <w:spacing w:line="420" w:lineRule="exact"/>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递交截止时间：2025年8月 22日 15 时 00 分。</w:t>
      </w:r>
    </w:p>
    <w:p w14:paraId="0E7C9B66">
      <w:pPr>
        <w:spacing w:line="420" w:lineRule="exact"/>
        <w:rPr>
          <w:rFonts w:hint="eastAsia" w:ascii="黑体" w:hAnsi="黑体" w:eastAsia="黑体" w:cs="仿宋_GB2312"/>
          <w:color w:val="auto"/>
          <w:sz w:val="28"/>
          <w:szCs w:val="28"/>
          <w:lang w:val="en-US" w:eastAsia="zh-CN"/>
        </w:rPr>
      </w:pPr>
      <w:r>
        <w:rPr>
          <w:rFonts w:hint="eastAsia" w:ascii="黑体" w:hAnsi="黑体" w:eastAsia="黑体" w:cs="黑体"/>
          <w:color w:val="auto"/>
          <w:kern w:val="0"/>
          <w:sz w:val="28"/>
          <w:szCs w:val="28"/>
          <w:lang w:val="en-US" w:eastAsia="zh-CN"/>
        </w:rPr>
        <w:t>比选申请</w:t>
      </w:r>
      <w:r>
        <w:rPr>
          <w:rFonts w:hint="eastAsia" w:ascii="黑体" w:hAnsi="黑体" w:eastAsia="黑体" w:cs="黑体"/>
          <w:color w:val="auto"/>
          <w:kern w:val="0"/>
          <w:sz w:val="28"/>
          <w:szCs w:val="28"/>
        </w:rPr>
        <w:t>人按本</w:t>
      </w:r>
      <w:r>
        <w:rPr>
          <w:rFonts w:hint="eastAsia" w:ascii="黑体" w:hAnsi="黑体" w:eastAsia="黑体" w:cs="黑体"/>
          <w:color w:val="auto"/>
          <w:kern w:val="0"/>
          <w:sz w:val="28"/>
          <w:szCs w:val="28"/>
          <w:lang w:val="en-US" w:eastAsia="zh-CN"/>
        </w:rPr>
        <w:t>比选</w:t>
      </w:r>
      <w:r>
        <w:rPr>
          <w:rFonts w:hint="eastAsia" w:ascii="黑体" w:hAnsi="黑体" w:eastAsia="黑体" w:cs="黑体"/>
          <w:color w:val="auto"/>
          <w:kern w:val="0"/>
          <w:sz w:val="28"/>
          <w:szCs w:val="28"/>
        </w:rPr>
        <w:t>文件</w:t>
      </w:r>
      <w:r>
        <w:rPr>
          <w:rFonts w:hint="eastAsia" w:ascii="黑体" w:hAnsi="黑体" w:eastAsia="黑体" w:cs="黑体"/>
          <w:color w:val="auto"/>
          <w:kern w:val="0"/>
          <w:sz w:val="28"/>
          <w:szCs w:val="28"/>
          <w:lang w:val="en-US" w:eastAsia="zh-CN"/>
        </w:rPr>
        <w:t>第三章响应性文件</w:t>
      </w:r>
      <w:r>
        <w:rPr>
          <w:rFonts w:hint="eastAsia" w:ascii="黑体" w:hAnsi="黑体" w:eastAsia="黑体" w:cs="黑体"/>
          <w:color w:val="auto"/>
          <w:kern w:val="0"/>
          <w:sz w:val="28"/>
          <w:szCs w:val="28"/>
        </w:rPr>
        <w:t>格式制作报价文件，</w:t>
      </w:r>
      <w:r>
        <w:rPr>
          <w:rFonts w:hint="eastAsia" w:ascii="黑体" w:hAnsi="黑体" w:eastAsia="黑体" w:cs="黑体"/>
          <w:color w:val="auto"/>
          <w:sz w:val="28"/>
          <w:szCs w:val="28"/>
        </w:rPr>
        <w:t>注明</w:t>
      </w:r>
      <w:r>
        <w:rPr>
          <w:rFonts w:hint="eastAsia" w:ascii="黑体" w:hAnsi="黑体" w:eastAsia="黑体" w:cs="黑体"/>
          <w:color w:val="auto"/>
          <w:kern w:val="0"/>
          <w:sz w:val="28"/>
          <w:szCs w:val="28"/>
        </w:rPr>
        <w:t>标的物名称、</w:t>
      </w:r>
      <w:r>
        <w:rPr>
          <w:rFonts w:hint="eastAsia" w:ascii="黑体" w:hAnsi="黑体" w:eastAsia="黑体" w:cs="黑体"/>
          <w:color w:val="auto"/>
          <w:sz w:val="28"/>
          <w:szCs w:val="28"/>
        </w:rPr>
        <w:t>单价（</w:t>
      </w:r>
      <w:r>
        <w:rPr>
          <w:rFonts w:hint="eastAsia" w:ascii="黑体" w:hAnsi="黑体" w:eastAsia="黑体" w:cs="黑体"/>
          <w:color w:val="auto"/>
          <w:sz w:val="28"/>
          <w:szCs w:val="28"/>
          <w:lang w:val="en-US" w:eastAsia="zh-CN"/>
        </w:rPr>
        <w:t>含</w:t>
      </w:r>
      <w:r>
        <w:rPr>
          <w:rFonts w:hint="eastAsia" w:ascii="黑体" w:hAnsi="黑体" w:eastAsia="黑体" w:cs="黑体"/>
          <w:color w:val="auto"/>
          <w:sz w:val="28"/>
          <w:szCs w:val="28"/>
        </w:rPr>
        <w:t>税</w:t>
      </w:r>
      <w:r>
        <w:rPr>
          <w:rFonts w:hint="eastAsia" w:ascii="黑体" w:hAnsi="黑体" w:eastAsia="黑体" w:cs="黑体"/>
          <w:color w:val="auto"/>
          <w:sz w:val="28"/>
          <w:szCs w:val="28"/>
          <w:lang w:val="en-US" w:eastAsia="zh-CN"/>
        </w:rPr>
        <w:t>价</w:t>
      </w:r>
      <w:r>
        <w:rPr>
          <w:rFonts w:hint="eastAsia" w:ascii="黑体" w:hAnsi="黑体" w:eastAsia="黑体" w:cs="黑体"/>
          <w:color w:val="auto"/>
          <w:sz w:val="28"/>
          <w:szCs w:val="28"/>
        </w:rPr>
        <w:t>）、合计金额、</w:t>
      </w:r>
      <w:r>
        <w:rPr>
          <w:rFonts w:hint="eastAsia" w:ascii="黑体" w:hAnsi="黑体" w:eastAsia="黑体" w:cs="黑体"/>
          <w:color w:val="auto"/>
          <w:sz w:val="28"/>
          <w:szCs w:val="28"/>
          <w:lang w:val="en-US" w:eastAsia="zh-CN"/>
        </w:rPr>
        <w:t>服务</w:t>
      </w:r>
      <w:r>
        <w:rPr>
          <w:rFonts w:hint="eastAsia" w:ascii="黑体" w:hAnsi="黑体" w:eastAsia="黑体" w:cs="黑体"/>
          <w:color w:val="auto"/>
          <w:sz w:val="28"/>
          <w:szCs w:val="28"/>
        </w:rPr>
        <w:t>期、付款方式等（若询价约定的标的物</w:t>
      </w:r>
      <w:r>
        <w:rPr>
          <w:rFonts w:hint="eastAsia" w:ascii="黑体" w:hAnsi="黑体" w:eastAsia="黑体" w:cs="黑体"/>
          <w:color w:val="auto"/>
          <w:sz w:val="28"/>
          <w:szCs w:val="28"/>
          <w:lang w:val="en-US" w:eastAsia="zh-CN"/>
        </w:rPr>
        <w:t>服务</w:t>
      </w:r>
      <w:r>
        <w:rPr>
          <w:rFonts w:hint="eastAsia" w:ascii="黑体" w:hAnsi="黑体" w:eastAsia="黑体" w:cs="黑体"/>
          <w:color w:val="auto"/>
          <w:sz w:val="28"/>
          <w:szCs w:val="28"/>
        </w:rPr>
        <w:t>期、付款方式</w:t>
      </w:r>
      <w:r>
        <w:rPr>
          <w:rFonts w:hint="eastAsia" w:ascii="黑体" w:hAnsi="黑体" w:eastAsia="黑体" w:cs="黑体"/>
          <w:color w:val="auto"/>
          <w:sz w:val="28"/>
          <w:szCs w:val="28"/>
          <w:lang w:val="en-US" w:eastAsia="zh-CN"/>
        </w:rPr>
        <w:t>等</w:t>
      </w:r>
      <w:r>
        <w:rPr>
          <w:rFonts w:hint="eastAsia" w:ascii="黑体" w:hAnsi="黑体" w:eastAsia="黑体" w:cs="黑体"/>
          <w:color w:val="auto"/>
          <w:sz w:val="28"/>
          <w:szCs w:val="28"/>
        </w:rPr>
        <w:t>有异议，请在报价文件中另作说明）。</w:t>
      </w:r>
      <w:r>
        <w:rPr>
          <w:rFonts w:hint="eastAsia" w:ascii="黑体" w:hAnsi="黑体" w:eastAsia="黑体" w:cs="黑体"/>
          <w:color w:val="auto"/>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color w:val="auto"/>
          <w:kern w:val="2"/>
          <w:sz w:val="28"/>
          <w:szCs w:val="28"/>
          <w:lang w:val="en-US" w:eastAsia="zh-CN" w:bidi="ar-SA"/>
        </w:rPr>
        <w:t>宏达股份集采平台</w:t>
      </w:r>
      <w:r>
        <w:rPr>
          <w:rFonts w:hint="eastAsia" w:ascii="黑体" w:hAnsi="黑体" w:eastAsia="黑体" w:cs="黑体"/>
          <w:color w:val="auto"/>
          <w:sz w:val="28"/>
          <w:szCs w:val="28"/>
          <w:lang w:val="en-US" w:eastAsia="zh-CN"/>
        </w:rPr>
        <w:t>。</w:t>
      </w:r>
    </w:p>
    <w:p w14:paraId="0BDA6A4D">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color w:val="auto"/>
          <w:sz w:val="28"/>
          <w:szCs w:val="28"/>
          <w:lang w:val="en-US" w:eastAsia="zh-CN"/>
        </w:rPr>
      </w:pPr>
      <w:r>
        <w:rPr>
          <w:rFonts w:hint="eastAsia" w:ascii="黑体" w:hAnsi="黑体" w:eastAsia="黑体" w:cs="仿宋_GB2312"/>
          <w:color w:val="auto"/>
          <w:sz w:val="28"/>
          <w:szCs w:val="28"/>
          <w:lang w:val="en-US" w:eastAsia="zh-CN"/>
        </w:rPr>
        <w:t>①比选申请人需提供</w:t>
      </w:r>
      <w:bookmarkStart w:id="0" w:name="OLE_LINK4"/>
      <w:bookmarkStart w:id="1" w:name="OLE_LINK3"/>
      <w:r>
        <w:rPr>
          <w:rFonts w:hint="eastAsia" w:ascii="黑体" w:hAnsi="黑体" w:eastAsia="黑体" w:cs="仿宋_GB2312"/>
          <w:color w:val="auto"/>
          <w:sz w:val="28"/>
          <w:szCs w:val="28"/>
          <w:lang w:val="en-US" w:eastAsia="zh-CN"/>
        </w:rPr>
        <w:t>营业执照（三证合一）</w:t>
      </w:r>
      <w:bookmarkEnd w:id="0"/>
      <w:bookmarkEnd w:id="1"/>
      <w:r>
        <w:rPr>
          <w:rFonts w:hint="eastAsia" w:ascii="黑体" w:hAnsi="黑体" w:eastAsia="黑体" w:cs="仿宋_GB2312"/>
          <w:color w:val="auto"/>
          <w:sz w:val="28"/>
          <w:szCs w:val="28"/>
          <w:lang w:val="en-US" w:eastAsia="zh-CN"/>
        </w:rPr>
        <w:t>。</w:t>
      </w:r>
    </w:p>
    <w:p w14:paraId="539C008C">
      <w:pPr>
        <w:numPr>
          <w:ilvl w:val="0"/>
          <w:numId w:val="0"/>
        </w:numPr>
        <w:spacing w:line="420" w:lineRule="exact"/>
        <w:ind w:leftChars="0"/>
        <w:rPr>
          <w:rFonts w:ascii="黑体" w:hAnsi="黑体" w:eastAsia="黑体" w:cs="Segoe UI"/>
          <w:color w:val="auto"/>
          <w:kern w:val="0"/>
          <w:sz w:val="28"/>
          <w:szCs w:val="28"/>
        </w:rPr>
      </w:pPr>
      <w:r>
        <w:rPr>
          <w:rFonts w:hint="eastAsia" w:ascii="黑体" w:hAnsi="黑体" w:eastAsia="黑体" w:cs="仿宋_GB2312"/>
          <w:color w:val="auto"/>
          <w:sz w:val="28"/>
          <w:szCs w:val="28"/>
          <w:lang w:val="en-US" w:eastAsia="zh-CN"/>
        </w:rPr>
        <w:t>②提供相关服务业绩</w:t>
      </w:r>
      <w:r>
        <w:rPr>
          <w:rFonts w:hint="eastAsia" w:ascii="黑体" w:hAnsi="黑体" w:eastAsia="黑体" w:cs="Segoe UI"/>
          <w:color w:val="auto"/>
          <w:kern w:val="0"/>
          <w:sz w:val="28"/>
          <w:szCs w:val="28"/>
        </w:rPr>
        <w:t>。</w:t>
      </w:r>
    </w:p>
    <w:p w14:paraId="54DDC833">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9</w:t>
      </w:r>
      <w:r>
        <w:rPr>
          <w:rFonts w:hint="eastAsia" w:ascii="黑体" w:hAnsi="黑体" w:eastAsia="黑体" w:cs="宋体"/>
          <w:color w:val="auto"/>
          <w:kern w:val="0"/>
          <w:sz w:val="28"/>
          <w:szCs w:val="28"/>
          <w:lang w:eastAsia="zh-CN"/>
        </w:rPr>
        <w:t>.</w:t>
      </w:r>
      <w:r>
        <w:rPr>
          <w:rFonts w:hint="eastAsia" w:ascii="黑体" w:hAnsi="黑体" w:eastAsia="黑体" w:cs="Times New Roman"/>
          <w:color w:val="auto"/>
          <w:sz w:val="28"/>
          <w:szCs w:val="28"/>
        </w:rPr>
        <w:t>比选时不保证最低价中选，但充分注意合理的最低报价。</w:t>
      </w:r>
    </w:p>
    <w:p w14:paraId="56674FAE">
      <w:pPr>
        <w:spacing w:line="42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1</w:t>
      </w:r>
      <w:r>
        <w:rPr>
          <w:rFonts w:hint="eastAsia" w:ascii="黑体" w:hAnsi="黑体" w:eastAsia="黑体" w:cs="宋体"/>
          <w:color w:val="auto"/>
          <w:kern w:val="0"/>
          <w:sz w:val="28"/>
          <w:szCs w:val="28"/>
          <w:lang w:val="en-US" w:eastAsia="zh-CN"/>
        </w:rPr>
        <w:t>0</w:t>
      </w:r>
      <w:r>
        <w:rPr>
          <w:rFonts w:hint="eastAsia" w:ascii="黑体" w:hAnsi="黑体" w:eastAsia="黑体" w:cs="宋体"/>
          <w:color w:val="auto"/>
          <w:kern w:val="0"/>
          <w:sz w:val="28"/>
          <w:szCs w:val="28"/>
          <w:lang w:eastAsia="zh-CN"/>
        </w:rPr>
        <w:t>.</w:t>
      </w:r>
      <w:r>
        <w:rPr>
          <w:rFonts w:hint="eastAsia" w:ascii="黑体" w:hAnsi="黑体" w:eastAsia="黑体" w:cs="宋体"/>
          <w:color w:val="auto"/>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b/>
          <w:bCs/>
          <w:color w:val="auto"/>
          <w:kern w:val="0"/>
          <w:sz w:val="28"/>
          <w:szCs w:val="28"/>
          <w:lang w:val="en-US" w:eastAsia="zh-CN"/>
        </w:rPr>
      </w:pPr>
      <w:r>
        <w:rPr>
          <w:rFonts w:hint="eastAsia" w:ascii="黑体" w:hAnsi="黑体" w:eastAsia="黑体" w:cs="宋体"/>
          <w:color w:val="auto"/>
          <w:kern w:val="0"/>
          <w:sz w:val="28"/>
          <w:szCs w:val="28"/>
        </w:rPr>
        <w:t>联系人：</w:t>
      </w:r>
      <w:r>
        <w:rPr>
          <w:rFonts w:hint="eastAsia" w:ascii="黑体" w:hAnsi="黑体" w:eastAsia="黑体" w:cs="宋体"/>
          <w:color w:val="auto"/>
          <w:kern w:val="0"/>
          <w:sz w:val="28"/>
          <w:szCs w:val="28"/>
          <w:lang w:val="en-US" w:eastAsia="zh-CN"/>
        </w:rPr>
        <w:t>程康15282839809  马玢13689625689</w:t>
      </w:r>
    </w:p>
    <w:p w14:paraId="446C7FA9">
      <w:pPr>
        <w:adjustRightInd w:val="0"/>
        <w:spacing w:line="420" w:lineRule="exact"/>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地 址：四川省德阳市什邡市</w:t>
      </w:r>
      <w:r>
        <w:rPr>
          <w:rFonts w:hint="eastAsia" w:ascii="黑体" w:hAnsi="黑体" w:eastAsia="黑体" w:cs="宋体"/>
          <w:color w:val="auto"/>
          <w:kern w:val="0"/>
          <w:sz w:val="28"/>
          <w:szCs w:val="28"/>
          <w:lang w:val="en-US" w:eastAsia="zh-CN"/>
        </w:rPr>
        <w:t>师古</w:t>
      </w:r>
      <w:r>
        <w:rPr>
          <w:rFonts w:hint="eastAsia" w:ascii="黑体" w:hAnsi="黑体" w:eastAsia="黑体" w:cs="宋体"/>
          <w:color w:val="auto"/>
          <w:kern w:val="0"/>
          <w:sz w:val="28"/>
          <w:szCs w:val="28"/>
        </w:rPr>
        <w:t xml:space="preserve">镇          邮 编：618401           </w:t>
      </w:r>
    </w:p>
    <w:p w14:paraId="0BEE090F">
      <w:pPr>
        <w:pStyle w:val="5"/>
        <w:ind w:left="0" w:leftChars="0" w:firstLine="0" w:firstLineChars="0"/>
        <w:rPr>
          <w:rFonts w:ascii="黑体" w:hAnsi="黑体" w:eastAsia="黑体" w:cs="宋体"/>
          <w:color w:val="auto"/>
          <w:kern w:val="0"/>
          <w:sz w:val="28"/>
          <w:szCs w:val="28"/>
        </w:rPr>
      </w:pPr>
    </w:p>
    <w:p w14:paraId="6ED43AE4">
      <w:pPr>
        <w:rPr>
          <w:rFonts w:ascii="黑体" w:hAnsi="黑体" w:eastAsia="黑体" w:cs="宋体"/>
          <w:color w:val="auto"/>
          <w:kern w:val="0"/>
          <w:sz w:val="28"/>
          <w:szCs w:val="28"/>
        </w:rPr>
      </w:pPr>
    </w:p>
    <w:p w14:paraId="20636B28">
      <w:pPr>
        <w:pStyle w:val="5"/>
        <w:rPr>
          <w:color w:val="auto"/>
        </w:rPr>
      </w:pPr>
    </w:p>
    <w:p w14:paraId="7F1145CE">
      <w:pPr>
        <w:adjustRightInd w:val="0"/>
        <w:spacing w:line="420" w:lineRule="exact"/>
        <w:ind w:firstLine="5460" w:firstLineChars="1950"/>
        <w:jc w:val="left"/>
        <w:rPr>
          <w:rFonts w:ascii="黑体" w:hAnsi="黑体" w:eastAsia="黑体" w:cs="宋体"/>
          <w:color w:val="auto"/>
          <w:kern w:val="0"/>
          <w:sz w:val="28"/>
          <w:szCs w:val="28"/>
        </w:rPr>
      </w:pPr>
      <w:r>
        <w:rPr>
          <w:rFonts w:hint="eastAsia" w:ascii="黑体" w:hAnsi="黑体" w:eastAsia="黑体" w:cs="宋体"/>
          <w:color w:val="auto"/>
          <w:kern w:val="0"/>
          <w:sz w:val="28"/>
          <w:szCs w:val="28"/>
        </w:rPr>
        <w:t>四川宏达股份有限公司</w:t>
      </w:r>
    </w:p>
    <w:p w14:paraId="2A7A58D4">
      <w:pPr>
        <w:spacing w:line="420" w:lineRule="exact"/>
        <w:ind w:firstLine="5880" w:firstLineChars="2100"/>
        <w:rPr>
          <w:rFonts w:ascii="黑体" w:hAnsi="黑体" w:eastAsia="黑体" w:cs="宋体"/>
          <w:color w:val="auto"/>
          <w:kern w:val="0"/>
          <w:sz w:val="28"/>
          <w:szCs w:val="28"/>
        </w:rPr>
      </w:pPr>
      <w:r>
        <w:rPr>
          <w:rFonts w:hint="eastAsia" w:ascii="黑体" w:hAnsi="黑体" w:eastAsia="黑体" w:cs="宋体"/>
          <w:color w:val="auto"/>
          <w:kern w:val="0"/>
          <w:sz w:val="28"/>
          <w:szCs w:val="28"/>
        </w:rPr>
        <w:t>2025年</w:t>
      </w:r>
      <w:r>
        <w:rPr>
          <w:rFonts w:hint="eastAsia" w:ascii="黑体" w:hAnsi="黑体" w:eastAsia="黑体" w:cs="宋体"/>
          <w:color w:val="auto"/>
          <w:kern w:val="0"/>
          <w:sz w:val="28"/>
          <w:szCs w:val="28"/>
          <w:lang w:val="en-US" w:eastAsia="zh-CN"/>
        </w:rPr>
        <w:t>8</w:t>
      </w:r>
      <w:r>
        <w:rPr>
          <w:rFonts w:hint="eastAsia" w:ascii="黑体" w:hAnsi="黑体" w:eastAsia="黑体" w:cs="宋体"/>
          <w:color w:val="auto"/>
          <w:kern w:val="0"/>
          <w:sz w:val="28"/>
          <w:szCs w:val="28"/>
        </w:rPr>
        <w:t>月</w:t>
      </w:r>
      <w:r>
        <w:rPr>
          <w:rFonts w:hint="eastAsia" w:ascii="黑体" w:hAnsi="黑体" w:eastAsia="黑体" w:cs="宋体"/>
          <w:color w:val="auto"/>
          <w:kern w:val="0"/>
          <w:sz w:val="28"/>
          <w:szCs w:val="28"/>
          <w:lang w:val="en-US" w:eastAsia="zh-CN"/>
        </w:rPr>
        <w:t>19</w:t>
      </w:r>
      <w:r>
        <w:rPr>
          <w:rFonts w:hint="eastAsia" w:ascii="黑体" w:hAnsi="黑体" w:eastAsia="黑体" w:cs="宋体"/>
          <w:color w:val="auto"/>
          <w:kern w:val="0"/>
          <w:sz w:val="28"/>
          <w:szCs w:val="28"/>
        </w:rPr>
        <w:t>日</w:t>
      </w:r>
    </w:p>
    <w:p w14:paraId="104BB685">
      <w:pPr>
        <w:spacing w:line="420" w:lineRule="exact"/>
        <w:rPr>
          <w:rFonts w:hint="eastAsia" w:ascii="黑体" w:hAnsi="黑体" w:eastAsia="黑体" w:cs="宋体"/>
          <w:b/>
          <w:color w:val="auto"/>
          <w:kern w:val="0"/>
          <w:sz w:val="28"/>
          <w:szCs w:val="28"/>
        </w:rPr>
      </w:pPr>
    </w:p>
    <w:p w14:paraId="0A9B5430">
      <w:pPr>
        <w:spacing w:line="360" w:lineRule="exact"/>
        <w:rPr>
          <w:rFonts w:hint="eastAsia" w:ascii="黑体" w:hAnsi="黑体" w:eastAsia="黑体" w:cs="宋体"/>
          <w:b/>
          <w:color w:val="auto"/>
          <w:kern w:val="0"/>
          <w:sz w:val="28"/>
          <w:szCs w:val="28"/>
        </w:rPr>
      </w:pPr>
    </w:p>
    <w:p w14:paraId="12331C79">
      <w:pPr>
        <w:pStyle w:val="49"/>
        <w:rPr>
          <w:rFonts w:hint="eastAsia"/>
          <w:color w:val="auto"/>
        </w:rPr>
      </w:pPr>
    </w:p>
    <w:p w14:paraId="77262E01">
      <w:pPr>
        <w:spacing w:line="360" w:lineRule="exact"/>
        <w:rPr>
          <w:rFonts w:hint="eastAsia" w:ascii="黑体" w:hAnsi="黑体" w:eastAsia="黑体" w:cs="宋体"/>
          <w:b/>
          <w:color w:val="auto"/>
          <w:kern w:val="0"/>
          <w:sz w:val="28"/>
          <w:szCs w:val="28"/>
        </w:rPr>
      </w:pPr>
    </w:p>
    <w:p w14:paraId="4E4B15C3">
      <w:pPr>
        <w:spacing w:line="360" w:lineRule="exact"/>
        <w:rPr>
          <w:rFonts w:hint="eastAsia" w:ascii="黑体" w:hAnsi="黑体" w:eastAsia="黑体" w:cs="宋体"/>
          <w:b/>
          <w:color w:val="auto"/>
          <w:kern w:val="0"/>
          <w:sz w:val="28"/>
          <w:szCs w:val="28"/>
        </w:rPr>
      </w:pPr>
    </w:p>
    <w:p w14:paraId="37EDF4DE">
      <w:pPr>
        <w:spacing w:line="360" w:lineRule="exact"/>
        <w:rPr>
          <w:rFonts w:hint="eastAsia" w:ascii="黑体" w:hAnsi="黑体" w:eastAsia="黑体" w:cs="宋体"/>
          <w:b/>
          <w:color w:val="auto"/>
          <w:kern w:val="0"/>
          <w:sz w:val="28"/>
          <w:szCs w:val="28"/>
        </w:rPr>
      </w:pPr>
    </w:p>
    <w:p w14:paraId="43C42125">
      <w:pPr>
        <w:spacing w:line="360" w:lineRule="exact"/>
        <w:rPr>
          <w:rFonts w:hint="eastAsia" w:ascii="黑体" w:hAnsi="黑体" w:eastAsia="黑体" w:cs="宋体"/>
          <w:b/>
          <w:color w:val="auto"/>
          <w:kern w:val="0"/>
          <w:sz w:val="28"/>
          <w:szCs w:val="28"/>
        </w:rPr>
      </w:pPr>
    </w:p>
    <w:p w14:paraId="64827940">
      <w:pPr>
        <w:spacing w:line="360" w:lineRule="exact"/>
        <w:rPr>
          <w:rFonts w:hint="eastAsia" w:ascii="黑体" w:hAnsi="黑体" w:eastAsia="黑体" w:cs="宋体"/>
          <w:b/>
          <w:color w:val="auto"/>
          <w:kern w:val="0"/>
          <w:sz w:val="28"/>
          <w:szCs w:val="28"/>
        </w:rPr>
      </w:pPr>
    </w:p>
    <w:p w14:paraId="5EE89FF4">
      <w:pPr>
        <w:jc w:val="both"/>
        <w:rPr>
          <w:rFonts w:hint="eastAsia" w:ascii="宋体" w:hAnsi="宋体" w:cs="仿宋" w:eastAsiaTheme="minorEastAsia"/>
          <w:color w:val="auto"/>
          <w:szCs w:val="21"/>
          <w:lang w:val="en-US" w:eastAsia="zh-CN"/>
        </w:rPr>
      </w:pPr>
      <w:bookmarkStart w:id="2" w:name="_Toc275019684"/>
      <w:bookmarkStart w:id="3" w:name="_Toc238552273"/>
      <w:bookmarkStart w:id="4" w:name="_Toc238797630"/>
      <w:bookmarkStart w:id="5" w:name="_Toc275014947"/>
      <w:bookmarkStart w:id="6" w:name="_Toc274236999"/>
      <w:bookmarkStart w:id="7" w:name="_Toc274596702"/>
      <w:bookmarkStart w:id="8" w:name="_Toc275019836"/>
      <w:bookmarkStart w:id="9" w:name="_Toc275019290"/>
      <w:bookmarkStart w:id="10" w:name="_Toc16684"/>
      <w:bookmarkStart w:id="11" w:name="_Toc318986166"/>
      <w:bookmarkStart w:id="12" w:name="_Toc268793030"/>
      <w:bookmarkStart w:id="13" w:name="_Toc303149804"/>
      <w:bookmarkStart w:id="14" w:name="_Toc269113527"/>
      <w:r>
        <w:rPr>
          <w:rFonts w:hint="eastAsia" w:ascii="宋体" w:hAnsi="宋体"/>
          <w:color w:val="auto"/>
          <w:kern w:val="0"/>
          <w:szCs w:val="21"/>
        </w:rPr>
        <w:br w:type="page"/>
      </w:r>
      <w:bookmarkEnd w:id="2"/>
      <w:bookmarkEnd w:id="3"/>
      <w:bookmarkEnd w:id="4"/>
      <w:bookmarkEnd w:id="5"/>
      <w:bookmarkEnd w:id="6"/>
      <w:bookmarkEnd w:id="7"/>
      <w:bookmarkEnd w:id="8"/>
      <w:bookmarkEnd w:id="9"/>
      <w:bookmarkEnd w:id="10"/>
      <w:bookmarkEnd w:id="11"/>
      <w:bookmarkEnd w:id="12"/>
      <w:bookmarkEnd w:id="13"/>
      <w:bookmarkEnd w:id="14"/>
      <w:r>
        <w:rPr>
          <w:rFonts w:hint="eastAsia" w:ascii="宋体" w:hAnsi="宋体"/>
          <w:color w:val="auto"/>
          <w:kern w:val="0"/>
          <w:szCs w:val="21"/>
          <w:lang w:val="en-US" w:eastAsia="zh-CN"/>
        </w:rPr>
        <w:t xml:space="preserve"> </w:t>
      </w:r>
    </w:p>
    <w:p w14:paraId="16DFE2E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第三章 </w:t>
      </w:r>
    </w:p>
    <w:p w14:paraId="711C438E">
      <w:pPr>
        <w:kinsoku/>
        <w:overflowPunct/>
        <w:topLinePunct w:val="0"/>
        <w:bidi w:val="0"/>
        <w:ind w:left="0" w:leftChars="0" w:right="0" w:rightChars="0" w:firstLine="640" w:firstLineChars="200"/>
        <w:jc w:val="center"/>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kinsoku/>
        <w:overflowPunct/>
        <w:topLinePunct w:val="0"/>
        <w:bidi w:val="0"/>
        <w:ind w:left="0" w:leftChars="0" w:right="0" w:rightChars="0" w:firstLine="640" w:firstLineChars="200"/>
        <w:jc w:val="center"/>
        <w:rPr>
          <w:rFonts w:hint="eastAsia" w:ascii="黑体" w:hAnsi="宋体" w:eastAsia="黑体"/>
          <w:color w:val="auto"/>
          <w:sz w:val="32"/>
          <w:szCs w:val="32"/>
          <w:lang w:val="en-US" w:eastAsia="zh-CN"/>
        </w:rPr>
      </w:pPr>
      <w:r>
        <w:rPr>
          <w:rFonts w:hint="eastAsia" w:ascii="黑体" w:hAnsi="宋体" w:eastAsia="黑体"/>
          <w:color w:val="auto"/>
          <w:sz w:val="32"/>
          <w:szCs w:val="32"/>
          <w:lang w:val="en-US" w:eastAsia="zh-CN"/>
        </w:rPr>
        <w:t>职业病危害现状评价报告采购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r>
        <w:rPr>
          <w:rFonts w:hint="eastAsia" w:ascii="宋体" w:hAnsi="宋体" w:cs="宋体"/>
          <w:b/>
          <w:bCs/>
          <w:color w:val="auto"/>
          <w:sz w:val="28"/>
          <w:szCs w:val="28"/>
        </w:rPr>
        <w:br w:type="page"/>
      </w:r>
    </w:p>
    <w:p w14:paraId="078365C6">
      <w:pPr>
        <w:kinsoku/>
        <w:overflowPunct/>
        <w:topLinePunct w:val="0"/>
        <w:bidi w:val="0"/>
        <w:ind w:left="0" w:leftChars="0" w:right="0" w:rightChars="0" w:firstLine="562" w:firstLineChars="200"/>
        <w:jc w:val="left"/>
        <w:rPr>
          <w:rFonts w:hint="default" w:ascii="宋体" w:hAnsi="宋体" w:cs="宋体" w:eastAsiaTheme="minorEastAsia"/>
          <w:b/>
          <w:bCs/>
          <w:color w:val="auto"/>
          <w:sz w:val="28"/>
          <w:szCs w:val="28"/>
          <w:lang w:val="en-US" w:eastAsia="zh-CN"/>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cs="宋体"/>
          <w:b/>
          <w:bCs/>
          <w:color w:val="auto"/>
          <w:sz w:val="28"/>
          <w:szCs w:val="28"/>
          <w:lang w:val="en-US" w:eastAsia="zh-CN"/>
        </w:rPr>
        <w:t>营业执照及资质文件</w:t>
      </w:r>
    </w:p>
    <w:p w14:paraId="178998BF">
      <w:pPr>
        <w:widowControl/>
        <w:kinsoku/>
        <w:overflowPunct/>
        <w:topLinePunct w:val="0"/>
        <w:bidi w:val="0"/>
        <w:spacing w:line="360" w:lineRule="auto"/>
        <w:ind w:left="0" w:leftChars="0" w:right="0" w:rightChars="0" w:firstLine="480" w:firstLineChars="200"/>
        <w:rPr>
          <w:rFonts w:ascii="宋体" w:hAnsi="宋体" w:cs="宋体"/>
          <w:color w:val="auto"/>
          <w:sz w:val="24"/>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宋体" w:hAnsi="宋体" w:cs="宋体"/>
          <w:color w:val="auto"/>
          <w:sz w:val="24"/>
          <w:lang w:val="en-US" w:eastAsia="zh-CN"/>
        </w:rPr>
        <w:t>1、</w:t>
      </w:r>
    </w:p>
    <w:p w14:paraId="7C6ABE72">
      <w:pPr>
        <w:rPr>
          <w:rFonts w:hint="eastAsia" w:ascii="宋体" w:hAnsi="宋体" w:eastAsia="宋体"/>
          <w:b/>
          <w:color w:val="auto"/>
          <w:lang w:val="en-US" w:eastAsia="zh-CN"/>
        </w:rPr>
      </w:pPr>
    </w:p>
    <w:p w14:paraId="79E6E945">
      <w:pPr>
        <w:pStyle w:val="50"/>
        <w:numPr>
          <w:ilvl w:val="0"/>
          <w:numId w:val="1"/>
        </w:numPr>
        <w:kinsoku/>
        <w:overflowPunct/>
        <w:topLinePunct w:val="0"/>
        <w:bidi w:val="0"/>
        <w:spacing w:line="360" w:lineRule="auto"/>
        <w:ind w:left="0" w:leftChars="0" w:right="0" w:rightChars="0" w:firstLine="0" w:firstLineChars="0"/>
        <w:jc w:val="center"/>
        <w:rPr>
          <w:rFonts w:hint="eastAsia" w:ascii="宋体" w:hAnsi="宋体" w:eastAsia="宋体"/>
          <w:b/>
          <w:color w:val="auto"/>
        </w:rPr>
      </w:pPr>
      <w:r>
        <w:rPr>
          <w:rFonts w:hint="eastAsia" w:ascii="宋体" w:hAnsi="宋体" w:eastAsia="宋体"/>
          <w:b/>
          <w:color w:val="auto"/>
        </w:rPr>
        <w:t>报价表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2"/>
        <w:gridCol w:w="3994"/>
        <w:gridCol w:w="1944"/>
        <w:gridCol w:w="1716"/>
        <w:gridCol w:w="1795"/>
        <w:gridCol w:w="2363"/>
      </w:tblGrid>
      <w:tr w14:paraId="21A10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362" w:type="dxa"/>
            <w:shd w:val="clear" w:color="auto" w:fill="auto"/>
            <w:vAlign w:val="center"/>
          </w:tcPr>
          <w:p w14:paraId="0861AA60">
            <w:pPr>
              <w:jc w:val="center"/>
              <w:rPr>
                <w:rFonts w:hint="eastAsia" w:ascii="黑体" w:hAnsi="黑体" w:eastAsia="黑体" w:cstheme="minorBidi"/>
                <w:b/>
                <w:bCs/>
                <w:color w:val="auto"/>
                <w:kern w:val="2"/>
                <w:sz w:val="28"/>
                <w:szCs w:val="28"/>
                <w:lang w:val="en-US" w:eastAsia="zh-CN" w:bidi="ar-SA"/>
              </w:rPr>
            </w:pPr>
            <w:r>
              <w:rPr>
                <w:rFonts w:hint="eastAsia" w:ascii="黑体" w:hAnsi="黑体" w:eastAsia="黑体"/>
                <w:b/>
                <w:bCs/>
                <w:color w:val="auto"/>
                <w:sz w:val="28"/>
                <w:szCs w:val="28"/>
              </w:rPr>
              <w:t>项目名称</w:t>
            </w:r>
          </w:p>
        </w:tc>
        <w:tc>
          <w:tcPr>
            <w:tcW w:w="3994" w:type="dxa"/>
            <w:shd w:val="clear" w:color="auto" w:fill="auto"/>
            <w:vAlign w:val="center"/>
          </w:tcPr>
          <w:p w14:paraId="632301B8">
            <w:pPr>
              <w:jc w:val="center"/>
              <w:rPr>
                <w:rFonts w:hint="eastAsia" w:ascii="黑体" w:hAnsi="黑体" w:eastAsia="黑体" w:cs="黑体"/>
                <w:b/>
                <w:bCs/>
                <w:color w:val="auto"/>
                <w:kern w:val="2"/>
                <w:sz w:val="28"/>
                <w:szCs w:val="28"/>
                <w:lang w:val="en-US" w:eastAsia="zh-CN" w:bidi="ar-SA"/>
              </w:rPr>
            </w:pPr>
            <w:r>
              <w:rPr>
                <w:rFonts w:hint="eastAsia" w:ascii="黑体" w:hAnsi="黑体" w:eastAsia="黑体" w:cs="黑体"/>
                <w:b/>
                <w:bCs/>
                <w:color w:val="auto"/>
                <w:sz w:val="28"/>
                <w:szCs w:val="28"/>
              </w:rPr>
              <w:t>内容</w:t>
            </w:r>
          </w:p>
        </w:tc>
        <w:tc>
          <w:tcPr>
            <w:tcW w:w="1944" w:type="dxa"/>
            <w:shd w:val="clear" w:color="auto" w:fill="auto"/>
            <w:vAlign w:val="center"/>
          </w:tcPr>
          <w:p w14:paraId="67B0B6EB">
            <w:pPr>
              <w:pStyle w:val="52"/>
              <w:spacing w:line="400" w:lineRule="exact"/>
              <w:rPr>
                <w:rFonts w:hint="eastAsia" w:ascii="黑体" w:hAnsi="黑体" w:eastAsia="黑体" w:cs="Arial"/>
                <w:color w:val="auto"/>
                <w:kern w:val="2"/>
                <w:sz w:val="28"/>
                <w:szCs w:val="28"/>
                <w:lang w:val="en-US" w:eastAsia="zh-CN" w:bidi="ar-SA"/>
              </w:rPr>
            </w:pPr>
            <w:r>
              <w:rPr>
                <w:rFonts w:hint="eastAsia" w:ascii="黑体" w:hAnsi="黑体" w:eastAsia="黑体"/>
                <w:color w:val="auto"/>
                <w:sz w:val="28"/>
                <w:szCs w:val="28"/>
              </w:rPr>
              <w:t>总金额</w:t>
            </w:r>
          </w:p>
        </w:tc>
        <w:tc>
          <w:tcPr>
            <w:tcW w:w="1716" w:type="dxa"/>
            <w:shd w:val="clear" w:color="auto" w:fill="auto"/>
            <w:vAlign w:val="center"/>
          </w:tcPr>
          <w:p w14:paraId="318AB4C0">
            <w:pPr>
              <w:pStyle w:val="52"/>
              <w:spacing w:line="400" w:lineRule="exact"/>
              <w:rPr>
                <w:rFonts w:hint="eastAsia" w:ascii="黑体" w:hAnsi="黑体" w:eastAsia="黑体" w:cs="Arial"/>
                <w:color w:val="auto"/>
                <w:kern w:val="2"/>
                <w:sz w:val="28"/>
                <w:szCs w:val="28"/>
                <w:lang w:val="en-US" w:eastAsia="zh-CN" w:bidi="ar-SA"/>
              </w:rPr>
            </w:pPr>
            <w:r>
              <w:rPr>
                <w:rFonts w:hint="eastAsia" w:ascii="黑体" w:hAnsi="黑体" w:eastAsia="黑体"/>
                <w:color w:val="auto"/>
                <w:sz w:val="28"/>
                <w:szCs w:val="28"/>
                <w:lang w:val="en-US" w:eastAsia="zh-CN"/>
              </w:rPr>
              <w:t>限价</w:t>
            </w:r>
          </w:p>
        </w:tc>
        <w:tc>
          <w:tcPr>
            <w:tcW w:w="1795" w:type="dxa"/>
            <w:shd w:val="clear" w:color="auto" w:fill="auto"/>
            <w:vAlign w:val="center"/>
          </w:tcPr>
          <w:p w14:paraId="0539FA39">
            <w:pPr>
              <w:pStyle w:val="52"/>
              <w:spacing w:line="400" w:lineRule="exact"/>
              <w:rPr>
                <w:rFonts w:hint="eastAsia" w:ascii="黑体" w:hAnsi="黑体" w:eastAsia="黑体"/>
                <w:color w:val="auto"/>
                <w:sz w:val="28"/>
                <w:szCs w:val="28"/>
                <w:lang w:val="en-US" w:eastAsia="zh-CN"/>
              </w:rPr>
            </w:pPr>
            <w:r>
              <w:rPr>
                <w:rFonts w:hint="eastAsia" w:ascii="黑体" w:hAnsi="黑体" w:eastAsia="黑体"/>
                <w:color w:val="auto"/>
                <w:sz w:val="28"/>
                <w:szCs w:val="28"/>
                <w:lang w:val="en-US" w:eastAsia="zh-CN"/>
              </w:rPr>
              <w:t>税率</w:t>
            </w:r>
          </w:p>
        </w:tc>
        <w:tc>
          <w:tcPr>
            <w:tcW w:w="2363" w:type="dxa"/>
            <w:vAlign w:val="center"/>
          </w:tcPr>
          <w:p w14:paraId="191543B5">
            <w:pPr>
              <w:pStyle w:val="52"/>
              <w:spacing w:line="400" w:lineRule="exact"/>
              <w:jc w:val="center"/>
              <w:rPr>
                <w:rFonts w:hint="eastAsia" w:ascii="黑体" w:hAnsi="黑体" w:eastAsia="黑体"/>
                <w:color w:val="auto"/>
                <w:sz w:val="28"/>
                <w:szCs w:val="28"/>
                <w:lang w:val="en-US" w:eastAsia="zh-CN"/>
              </w:rPr>
            </w:pPr>
            <w:r>
              <w:rPr>
                <w:rFonts w:hint="eastAsia" w:ascii="黑体" w:hAnsi="黑体" w:eastAsia="黑体"/>
                <w:color w:val="auto"/>
                <w:sz w:val="28"/>
                <w:szCs w:val="28"/>
                <w:lang w:val="en-US" w:eastAsia="zh-CN"/>
              </w:rPr>
              <w:t>备注</w:t>
            </w:r>
          </w:p>
        </w:tc>
      </w:tr>
      <w:tr w14:paraId="49E3D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362" w:type="dxa"/>
            <w:vAlign w:val="center"/>
          </w:tcPr>
          <w:p w14:paraId="3BF9C080">
            <w:pPr>
              <w:pStyle w:val="50"/>
              <w:numPr>
                <w:ilvl w:val="0"/>
                <w:numId w:val="0"/>
              </w:numPr>
              <w:kinsoku/>
              <w:overflowPunct/>
              <w:topLinePunct w:val="0"/>
              <w:bidi w:val="0"/>
              <w:spacing w:line="360" w:lineRule="auto"/>
              <w:ind w:right="0" w:rightChars="0"/>
              <w:jc w:val="center"/>
              <w:rPr>
                <w:rFonts w:hint="eastAsia" w:ascii="宋体" w:hAnsi="宋体" w:eastAsia="宋体"/>
                <w:b/>
                <w:color w:val="auto"/>
                <w:sz w:val="24"/>
                <w:szCs w:val="24"/>
                <w:vertAlign w:val="baseline"/>
              </w:rPr>
            </w:pPr>
            <w:r>
              <w:rPr>
                <w:rFonts w:hint="eastAsia" w:ascii="黑体" w:hAnsi="宋体" w:eastAsia="黑体"/>
                <w:color w:val="auto"/>
                <w:sz w:val="24"/>
                <w:szCs w:val="24"/>
                <w:lang w:val="en-US" w:eastAsia="zh-CN"/>
              </w:rPr>
              <w:t>职业病危害现状评价报告</w:t>
            </w:r>
          </w:p>
        </w:tc>
        <w:tc>
          <w:tcPr>
            <w:tcW w:w="3994" w:type="dxa"/>
          </w:tcPr>
          <w:p w14:paraId="6CB3342C">
            <w:pPr>
              <w:pStyle w:val="50"/>
              <w:numPr>
                <w:ilvl w:val="0"/>
                <w:numId w:val="0"/>
              </w:numPr>
              <w:kinsoku/>
              <w:overflowPunct/>
              <w:topLinePunct w:val="0"/>
              <w:bidi w:val="0"/>
              <w:spacing w:line="360" w:lineRule="auto"/>
              <w:ind w:right="0" w:rightChars="0"/>
              <w:jc w:val="both"/>
              <w:rPr>
                <w:rFonts w:hint="eastAsia" w:ascii="宋体" w:hAnsi="宋体" w:eastAsia="宋体"/>
                <w:b/>
                <w:color w:val="auto"/>
                <w:sz w:val="24"/>
                <w:szCs w:val="24"/>
                <w:vertAlign w:val="baseline"/>
              </w:rPr>
            </w:pPr>
            <w:r>
              <w:rPr>
                <w:rFonts w:hint="eastAsia" w:ascii="黑体" w:hAnsi="宋体" w:eastAsia="黑体"/>
                <w:color w:val="auto"/>
                <w:sz w:val="24"/>
                <w:szCs w:val="24"/>
                <w:lang w:val="en-US" w:eastAsia="zh-CN"/>
              </w:rPr>
              <w:t>分析评价职业病防护措施、个人防护用配备、职业卫生管理、应急救援、建筑卫生学、辅助卫生设施合理性与有效性。得出现状评价结论，针对职业病防护设施、个人防护用品配备与使用、职业卫生管理、应急救援、职业健康监护等方面存在的问题提出合理、可行的改进意见与建议。</w:t>
            </w:r>
          </w:p>
        </w:tc>
        <w:tc>
          <w:tcPr>
            <w:tcW w:w="1944" w:type="dxa"/>
            <w:vAlign w:val="center"/>
          </w:tcPr>
          <w:p w14:paraId="00111AA8">
            <w:pPr>
              <w:pStyle w:val="50"/>
              <w:numPr>
                <w:ilvl w:val="0"/>
                <w:numId w:val="0"/>
              </w:numPr>
              <w:kinsoku/>
              <w:overflowPunct/>
              <w:topLinePunct w:val="0"/>
              <w:bidi w:val="0"/>
              <w:spacing w:line="360" w:lineRule="auto"/>
              <w:ind w:right="0" w:rightChars="0"/>
              <w:jc w:val="center"/>
              <w:rPr>
                <w:rFonts w:hint="eastAsia" w:ascii="宋体" w:hAnsi="宋体" w:eastAsia="宋体"/>
                <w:b/>
                <w:color w:val="auto"/>
                <w:sz w:val="24"/>
                <w:szCs w:val="24"/>
                <w:vertAlign w:val="baseline"/>
              </w:rPr>
            </w:pPr>
          </w:p>
        </w:tc>
        <w:tc>
          <w:tcPr>
            <w:tcW w:w="1716" w:type="dxa"/>
            <w:vAlign w:val="center"/>
          </w:tcPr>
          <w:p w14:paraId="4C0A8B8F">
            <w:pPr>
              <w:pStyle w:val="50"/>
              <w:numPr>
                <w:ilvl w:val="0"/>
                <w:numId w:val="0"/>
              </w:numPr>
              <w:kinsoku/>
              <w:overflowPunct/>
              <w:topLinePunct w:val="0"/>
              <w:bidi w:val="0"/>
              <w:spacing w:line="360" w:lineRule="auto"/>
              <w:ind w:right="0" w:rightChars="0"/>
              <w:jc w:val="center"/>
              <w:rPr>
                <w:rFonts w:hint="default" w:ascii="宋体" w:hAnsi="宋体" w:eastAsia="宋体"/>
                <w:b/>
                <w:color w:val="auto"/>
                <w:sz w:val="24"/>
                <w:szCs w:val="24"/>
                <w:vertAlign w:val="baseline"/>
                <w:lang w:val="en-US" w:eastAsia="zh-CN"/>
              </w:rPr>
            </w:pPr>
            <w:r>
              <w:rPr>
                <w:rFonts w:hint="eastAsia" w:ascii="宋体" w:hAnsi="宋体" w:eastAsia="宋体"/>
                <w:b/>
                <w:color w:val="auto"/>
                <w:sz w:val="24"/>
                <w:szCs w:val="24"/>
                <w:vertAlign w:val="baseline"/>
                <w:lang w:val="en-US" w:eastAsia="zh-CN"/>
              </w:rPr>
              <w:t>50000元</w:t>
            </w:r>
          </w:p>
        </w:tc>
        <w:tc>
          <w:tcPr>
            <w:tcW w:w="1795" w:type="dxa"/>
            <w:vAlign w:val="center"/>
          </w:tcPr>
          <w:p w14:paraId="73F88558">
            <w:pPr>
              <w:pStyle w:val="50"/>
              <w:numPr>
                <w:ilvl w:val="0"/>
                <w:numId w:val="0"/>
              </w:numPr>
              <w:kinsoku/>
              <w:overflowPunct/>
              <w:topLinePunct w:val="0"/>
              <w:bidi w:val="0"/>
              <w:spacing w:line="360" w:lineRule="auto"/>
              <w:ind w:right="0" w:rightChars="0"/>
              <w:jc w:val="center"/>
              <w:rPr>
                <w:rFonts w:hint="eastAsia" w:ascii="宋体" w:hAnsi="宋体" w:eastAsia="宋体"/>
                <w:b/>
                <w:color w:val="auto"/>
                <w:sz w:val="24"/>
                <w:szCs w:val="24"/>
                <w:vertAlign w:val="baseline"/>
              </w:rPr>
            </w:pPr>
          </w:p>
        </w:tc>
        <w:tc>
          <w:tcPr>
            <w:tcW w:w="2363" w:type="dxa"/>
            <w:vAlign w:val="center"/>
          </w:tcPr>
          <w:p w14:paraId="4BE069F2">
            <w:pPr>
              <w:pStyle w:val="50"/>
              <w:numPr>
                <w:ilvl w:val="0"/>
                <w:numId w:val="0"/>
              </w:numPr>
              <w:kinsoku/>
              <w:overflowPunct/>
              <w:topLinePunct w:val="0"/>
              <w:bidi w:val="0"/>
              <w:spacing w:line="360" w:lineRule="auto"/>
              <w:ind w:right="0" w:rightChars="0"/>
              <w:jc w:val="center"/>
              <w:rPr>
                <w:rFonts w:hint="eastAsia" w:ascii="宋体" w:hAnsi="宋体" w:eastAsia="宋体"/>
                <w:b/>
                <w:color w:val="auto"/>
                <w:sz w:val="24"/>
                <w:szCs w:val="24"/>
                <w:vertAlign w:val="baseline"/>
              </w:rPr>
            </w:pPr>
          </w:p>
        </w:tc>
      </w:tr>
    </w:tbl>
    <w:p w14:paraId="28437299">
      <w:pPr>
        <w:pStyle w:val="50"/>
        <w:numPr>
          <w:ilvl w:val="0"/>
          <w:numId w:val="0"/>
        </w:numPr>
        <w:kinsoku/>
        <w:overflowPunct/>
        <w:topLinePunct w:val="0"/>
        <w:bidi w:val="0"/>
        <w:spacing w:line="360" w:lineRule="auto"/>
        <w:ind w:leftChars="0" w:right="0" w:rightChars="0"/>
        <w:jc w:val="both"/>
        <w:rPr>
          <w:rFonts w:hint="eastAsia" w:ascii="宋体" w:hAnsi="宋体" w:eastAsia="宋体"/>
          <w:b/>
          <w:color w:val="auto"/>
        </w:rPr>
      </w:pPr>
    </w:p>
    <w:p w14:paraId="1541407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bookmarkStart w:id="15" w:name="_GoBack"/>
      <w:bookmarkEnd w:id="15"/>
    </w:p>
    <w:p w14:paraId="6D5AF54D">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6CC58E74">
      <w:pPr>
        <w:tabs>
          <w:tab w:val="left" w:pos="6120"/>
          <w:tab w:val="left" w:pos="6510"/>
          <w:tab w:val="left" w:pos="12495"/>
        </w:tabs>
        <w:kinsoku/>
        <w:overflowPunct/>
        <w:topLinePunct w:val="0"/>
        <w:bidi w:val="0"/>
        <w:spacing w:line="360" w:lineRule="auto"/>
        <w:ind w:right="0" w:rightChars="0"/>
        <w:jc w:val="left"/>
        <w:rPr>
          <w:rFonts w:hint="eastAsia" w:ascii="宋体" w:hAnsi="宋体" w:eastAsiaTheme="minorEastAsia" w:cstheme="minorBidi"/>
          <w:color w:val="auto"/>
          <w:kern w:val="2"/>
          <w:sz w:val="21"/>
          <w:szCs w:val="21"/>
          <w:lang w:val="en-US" w:eastAsia="zh-CN" w:bidi="ar-SA"/>
        </w:rPr>
        <w:sectPr>
          <w:pgSz w:w="16838" w:h="11906" w:orient="landscape"/>
          <w:pgMar w:top="1191" w:right="1440" w:bottom="1191" w:left="1440" w:header="851" w:footer="992" w:gutter="0"/>
          <w:pgNumType w:start="0"/>
          <w:cols w:space="720" w:num="1"/>
          <w:titlePg/>
          <w:docGrid w:type="lines" w:linePitch="312" w:charSpace="0"/>
        </w:sectPr>
      </w:pPr>
      <w:r>
        <w:rPr>
          <w:rFonts w:hint="eastAsia" w:ascii="宋体" w:hAnsi="宋体"/>
          <w:color w:val="auto"/>
          <w:szCs w:val="21"/>
        </w:rPr>
        <w:t xml:space="preserve">                    </w:t>
      </w:r>
    </w:p>
    <w:p w14:paraId="0AD431EA">
      <w:pPr>
        <w:rPr>
          <w:rFonts w:hint="eastAsia" w:ascii="宋体" w:hAnsi="宋体" w:eastAsiaTheme="minorEastAsia" w:cstheme="minorBidi"/>
          <w:color w:val="auto"/>
          <w:kern w:val="2"/>
          <w:sz w:val="21"/>
          <w:szCs w:val="21"/>
          <w:lang w:val="en-US" w:eastAsia="zh-CN" w:bidi="ar-SA"/>
        </w:rPr>
      </w:pPr>
    </w:p>
    <w:p w14:paraId="303BD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DB18BD0">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2E7211">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1A5ACF6">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170BF42B">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3E454479">
      <w:pPr>
        <w:pStyle w:val="35"/>
        <w:spacing w:before="120" w:line="480" w:lineRule="exact"/>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费、试验检验费、包装费、</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w:t>
      </w:r>
      <w:r>
        <w:rPr>
          <w:rFonts w:hint="eastAsia" w:eastAsiaTheme="minorEastAsia" w:cstheme="minorBidi"/>
          <w:color w:val="auto"/>
          <w:kern w:val="2"/>
          <w:sz w:val="21"/>
          <w:szCs w:val="21"/>
          <w:lang w:val="en-US" w:eastAsia="zh-CN" w:bidi="ar-SA"/>
        </w:rPr>
        <w:t>勘查</w:t>
      </w:r>
      <w:r>
        <w:rPr>
          <w:rFonts w:hint="eastAsia" w:ascii="宋体" w:hAnsi="宋体" w:eastAsiaTheme="minorEastAsia" w:cstheme="minorBidi"/>
          <w:color w:val="auto"/>
          <w:kern w:val="2"/>
          <w:sz w:val="21"/>
          <w:szCs w:val="21"/>
          <w:lang w:val="en-US" w:eastAsia="zh-CN" w:bidi="ar-SA"/>
        </w:rPr>
        <w:t>费、保险费、设计费、</w:t>
      </w:r>
      <w:r>
        <w:rPr>
          <w:rFonts w:hint="eastAsia" w:eastAsiaTheme="minorEastAsia" w:cstheme="minorBidi"/>
          <w:color w:val="auto"/>
          <w:kern w:val="2"/>
          <w:sz w:val="21"/>
          <w:szCs w:val="21"/>
          <w:lang w:val="en-US" w:eastAsia="zh-CN" w:bidi="ar-SA"/>
        </w:rPr>
        <w:t>专家评审费、</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p>
    <w:p w14:paraId="4AA23DCC">
      <w:pPr>
        <w:widowControl/>
        <w:kinsoku/>
        <w:overflowPunct/>
        <w:topLinePunct w:val="0"/>
        <w:bidi w:val="0"/>
        <w:spacing w:line="360" w:lineRule="auto"/>
        <w:ind w:left="0" w:leftChars="0" w:right="0" w:rightChars="0" w:firstLine="420" w:firstLineChars="200"/>
        <w:rPr>
          <w:rFonts w:hint="eastAsia"/>
          <w:color w:val="auto"/>
        </w:rPr>
      </w:pPr>
    </w:p>
    <w:p w14:paraId="61C0E6FA">
      <w:pPr>
        <w:kinsoku/>
        <w:overflowPunct/>
        <w:topLinePunct w:val="0"/>
        <w:bidi w:val="0"/>
        <w:spacing w:line="360" w:lineRule="auto"/>
        <w:ind w:left="0" w:leftChars="0" w:right="0" w:rightChars="0" w:firstLine="562" w:firstLineChars="200"/>
        <w:jc w:val="center"/>
        <w:rPr>
          <w:rFonts w:hint="eastAsia" w:ascii="宋体" w:hAnsi="宋体"/>
          <w:b/>
          <w:color w:val="auto"/>
          <w:sz w:val="28"/>
        </w:rPr>
      </w:pPr>
      <w:r>
        <w:rPr>
          <w:rFonts w:hint="eastAsia" w:ascii="宋体" w:hAnsi="宋体" w:cs="宋体"/>
          <w:b/>
          <w:bCs/>
          <w:color w:val="auto"/>
          <w:sz w:val="28"/>
          <w:szCs w:val="28"/>
          <w:lang w:val="en-US" w:eastAsia="zh-CN"/>
        </w:rPr>
        <w:t>四</w:t>
      </w:r>
      <w:r>
        <w:rPr>
          <w:rFonts w:hint="eastAsia" w:ascii="宋体" w:hAnsi="宋体" w:cs="宋体"/>
          <w:b/>
          <w:bCs/>
          <w:color w:val="auto"/>
          <w:sz w:val="28"/>
          <w:szCs w:val="28"/>
        </w:rPr>
        <w:t>、</w:t>
      </w:r>
      <w:r>
        <w:rPr>
          <w:rFonts w:hint="eastAsia" w:ascii="宋体" w:hAnsi="宋体"/>
          <w:b/>
          <w:color w:val="auto"/>
          <w:sz w:val="28"/>
        </w:rPr>
        <w:t>承 诺</w:t>
      </w:r>
    </w:p>
    <w:p w14:paraId="02A9A41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3DDA4667">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服务</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484CA71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w:t>
      </w:r>
      <w:r>
        <w:rPr>
          <w:rFonts w:hint="eastAsia" w:ascii="宋体" w:hAnsi="宋体"/>
          <w:color w:val="auto"/>
          <w:lang w:val="en-US" w:eastAsia="zh-CN"/>
        </w:rPr>
        <w:t>服务</w:t>
      </w:r>
      <w:r>
        <w:rPr>
          <w:rFonts w:hint="eastAsia" w:ascii="宋体" w:hAnsi="宋体"/>
          <w:color w:val="auto"/>
        </w:rPr>
        <w:t>符合国家要求；</w:t>
      </w:r>
    </w:p>
    <w:p w14:paraId="3315052B">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0DD2A87D">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66D3D83">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0E8DAAA">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72C4A8E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一旦我方中标，愿意按照招标文件和招标人的规定和要求签订购销合同，并信守合同、保证质量、如期完成。</w:t>
      </w:r>
    </w:p>
    <w:p w14:paraId="73F280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4F8309E">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445FEA4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56DE0C5A">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FF80B05">
      <w:pPr>
        <w:kinsoku/>
        <w:overflowPunct/>
        <w:topLinePunct w:val="0"/>
        <w:bidi w:val="0"/>
        <w:spacing w:line="360" w:lineRule="auto"/>
        <w:ind w:left="0" w:leftChars="0" w:right="0" w:rightChars="0" w:firstLine="4200" w:firstLineChars="2000"/>
        <w:rPr>
          <w:color w:val="auto"/>
          <w:lang w:val="en-US" w:eastAsia="zh-CN"/>
        </w:rPr>
        <w:sectPr>
          <w:pgSz w:w="11906" w:h="16838"/>
          <w:pgMar w:top="1361" w:right="1134" w:bottom="1361" w:left="1134" w:header="851" w:footer="992" w:gutter="0"/>
          <w:pgNumType w:fmt="decimal"/>
          <w:cols w:space="0" w:num="1"/>
          <w:rtlGutter w:val="0"/>
          <w:docGrid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2316C6D9">
      <w:pPr>
        <w:spacing w:line="360" w:lineRule="exact"/>
        <w:rPr>
          <w:rFonts w:hint="eastAsia" w:ascii="黑体" w:hAnsi="黑体" w:eastAsia="黑体" w:cs="宋体"/>
          <w:b/>
          <w:color w:val="auto"/>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FFB4DD"/>
    <w:multiLevelType w:val="singleLevel"/>
    <w:tmpl w:val="3EFFB4DD"/>
    <w:lvl w:ilvl="0" w:tentative="0">
      <w:start w:val="5"/>
      <w:numFmt w:val="decimal"/>
      <w:lvlText w:val="%1."/>
      <w:lvlJc w:val="left"/>
      <w:pPr>
        <w:tabs>
          <w:tab w:val="left" w:pos="312"/>
        </w:tabs>
      </w:pPr>
    </w:lvl>
  </w:abstractNum>
  <w:abstractNum w:abstractNumId="1">
    <w:nsid w:val="45612F23"/>
    <w:multiLevelType w:val="singleLevel"/>
    <w:tmpl w:val="45612F2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3200"/>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D1736D"/>
    <w:rsid w:val="05573D16"/>
    <w:rsid w:val="057443B4"/>
    <w:rsid w:val="05C017FD"/>
    <w:rsid w:val="0687687D"/>
    <w:rsid w:val="06F2489E"/>
    <w:rsid w:val="070268E6"/>
    <w:rsid w:val="07501427"/>
    <w:rsid w:val="076636BD"/>
    <w:rsid w:val="094A00EB"/>
    <w:rsid w:val="094D7C7A"/>
    <w:rsid w:val="097507C7"/>
    <w:rsid w:val="097D22E2"/>
    <w:rsid w:val="09AD2157"/>
    <w:rsid w:val="0A3C4D43"/>
    <w:rsid w:val="0B6C6FDB"/>
    <w:rsid w:val="0BBB617C"/>
    <w:rsid w:val="0C5F0F6E"/>
    <w:rsid w:val="0D004BE0"/>
    <w:rsid w:val="0D6635DC"/>
    <w:rsid w:val="0EC51CF1"/>
    <w:rsid w:val="0F783207"/>
    <w:rsid w:val="0F797A29"/>
    <w:rsid w:val="0FBB34F5"/>
    <w:rsid w:val="0FFD54BA"/>
    <w:rsid w:val="10525110"/>
    <w:rsid w:val="10F838E5"/>
    <w:rsid w:val="110E7C3C"/>
    <w:rsid w:val="120F5BA7"/>
    <w:rsid w:val="1235718D"/>
    <w:rsid w:val="128A3A09"/>
    <w:rsid w:val="12A6008B"/>
    <w:rsid w:val="12D009A7"/>
    <w:rsid w:val="13C54541"/>
    <w:rsid w:val="14676D7E"/>
    <w:rsid w:val="15916DD0"/>
    <w:rsid w:val="16413351"/>
    <w:rsid w:val="164E090F"/>
    <w:rsid w:val="16937390"/>
    <w:rsid w:val="172F5937"/>
    <w:rsid w:val="17660053"/>
    <w:rsid w:val="177C482D"/>
    <w:rsid w:val="190E59FE"/>
    <w:rsid w:val="19393A07"/>
    <w:rsid w:val="1A294B27"/>
    <w:rsid w:val="1A683441"/>
    <w:rsid w:val="1C4C57FF"/>
    <w:rsid w:val="1D64697C"/>
    <w:rsid w:val="1DD969AB"/>
    <w:rsid w:val="1ED14404"/>
    <w:rsid w:val="1EF74148"/>
    <w:rsid w:val="1FA15E62"/>
    <w:rsid w:val="1FDB7383"/>
    <w:rsid w:val="20A629C0"/>
    <w:rsid w:val="20A81398"/>
    <w:rsid w:val="21196F94"/>
    <w:rsid w:val="21263865"/>
    <w:rsid w:val="213571AA"/>
    <w:rsid w:val="217D645B"/>
    <w:rsid w:val="21843C8D"/>
    <w:rsid w:val="21F13065"/>
    <w:rsid w:val="22847A7E"/>
    <w:rsid w:val="22A07CA6"/>
    <w:rsid w:val="237F15B6"/>
    <w:rsid w:val="240E783E"/>
    <w:rsid w:val="246966F1"/>
    <w:rsid w:val="2470465E"/>
    <w:rsid w:val="24F6510A"/>
    <w:rsid w:val="24FA55ED"/>
    <w:rsid w:val="25CC5B88"/>
    <w:rsid w:val="26933E36"/>
    <w:rsid w:val="26BC19A6"/>
    <w:rsid w:val="279E3E6D"/>
    <w:rsid w:val="27A73E71"/>
    <w:rsid w:val="27B8643F"/>
    <w:rsid w:val="28564D7B"/>
    <w:rsid w:val="289607B9"/>
    <w:rsid w:val="28F11C08"/>
    <w:rsid w:val="290166AE"/>
    <w:rsid w:val="2A494963"/>
    <w:rsid w:val="2A5A72A6"/>
    <w:rsid w:val="2A7A0382"/>
    <w:rsid w:val="2AAB5DE7"/>
    <w:rsid w:val="2AC075D6"/>
    <w:rsid w:val="2C0635BA"/>
    <w:rsid w:val="2C612895"/>
    <w:rsid w:val="2C672453"/>
    <w:rsid w:val="2EC03E0B"/>
    <w:rsid w:val="2EE64169"/>
    <w:rsid w:val="300E355A"/>
    <w:rsid w:val="30337F16"/>
    <w:rsid w:val="30464A25"/>
    <w:rsid w:val="3082583C"/>
    <w:rsid w:val="31A45B7D"/>
    <w:rsid w:val="31A5035D"/>
    <w:rsid w:val="32C311AC"/>
    <w:rsid w:val="33980AB1"/>
    <w:rsid w:val="344A7D4E"/>
    <w:rsid w:val="347D19AD"/>
    <w:rsid w:val="34C32719"/>
    <w:rsid w:val="34E44129"/>
    <w:rsid w:val="34E65643"/>
    <w:rsid w:val="3539753D"/>
    <w:rsid w:val="35771A99"/>
    <w:rsid w:val="361436EF"/>
    <w:rsid w:val="363D49D0"/>
    <w:rsid w:val="36481456"/>
    <w:rsid w:val="371A057C"/>
    <w:rsid w:val="37296A11"/>
    <w:rsid w:val="388861A3"/>
    <w:rsid w:val="38DC340E"/>
    <w:rsid w:val="3A801D52"/>
    <w:rsid w:val="3ABF1B60"/>
    <w:rsid w:val="3B10121D"/>
    <w:rsid w:val="3BA23F27"/>
    <w:rsid w:val="3BB75F0B"/>
    <w:rsid w:val="3BF62074"/>
    <w:rsid w:val="3C904E0A"/>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877724"/>
    <w:rsid w:val="467A2DE5"/>
    <w:rsid w:val="470A03A4"/>
    <w:rsid w:val="47F46EAE"/>
    <w:rsid w:val="48724017"/>
    <w:rsid w:val="48750F6C"/>
    <w:rsid w:val="48790C33"/>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D81214"/>
    <w:rsid w:val="50F46497"/>
    <w:rsid w:val="514328A4"/>
    <w:rsid w:val="51875472"/>
    <w:rsid w:val="51F577C4"/>
    <w:rsid w:val="5213252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B1D65E8"/>
    <w:rsid w:val="5C8C341B"/>
    <w:rsid w:val="5D2F2B1E"/>
    <w:rsid w:val="5DEF5A0F"/>
    <w:rsid w:val="5DF72B16"/>
    <w:rsid w:val="5ECA3D86"/>
    <w:rsid w:val="5F4D50E3"/>
    <w:rsid w:val="60303C60"/>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D4756D"/>
    <w:rsid w:val="75E36E5B"/>
    <w:rsid w:val="775744D2"/>
    <w:rsid w:val="77E24ED1"/>
    <w:rsid w:val="789E730E"/>
    <w:rsid w:val="79042BD4"/>
    <w:rsid w:val="7A450456"/>
    <w:rsid w:val="7AC516D6"/>
    <w:rsid w:val="7BBE5F26"/>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paragraph" w:customStyle="1" w:styleId="52">
    <w:name w:val="p18"/>
    <w:basedOn w:val="1"/>
    <w:qFormat/>
    <w:uiPriority w:val="0"/>
    <w:pPr>
      <w:widowControl/>
      <w:spacing w:line="400" w:lineRule="atLeast"/>
      <w:jc w:val="center"/>
    </w:pPr>
    <w:rPr>
      <w:rFonts w:ascii="Arial" w:hAnsi="Arial" w:cs="Arial"/>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1763</Words>
  <Characters>1905</Characters>
  <Lines>16</Lines>
  <Paragraphs>4</Paragraphs>
  <TotalTime>8</TotalTime>
  <ScaleCrop>false</ScaleCrop>
  <LinksUpToDate>false</LinksUpToDate>
  <CharactersWithSpaces>2605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程康</cp:lastModifiedBy>
  <dcterms:modified xsi:type="dcterms:W3CDTF">2025-08-19T07:05:05Z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eyJoZGlkIjoiMzEwNTM5NzYwMDRjMzkwZTVkZjY2ODkwMGIxNGU0OTUiLCJ1c2VySWQiOiIzNzU4NzkwNDkifQ==</vt:lpwstr>
  </property>
  <property fmtid="{D5CDD505-2E9C-101B-9397-08002B2CF9AE}" pid="3" name="KSOProductBuildVer">
    <vt:lpwstr>2052-12.1.0.21915</vt:lpwstr>
  </property>
  <property fmtid="{D5CDD505-2E9C-101B-9397-08002B2CF9AE}" pid="4" name="ICV">
    <vt:lpwstr>638278A91B6247A3A14F33886A0DB3EB_13</vt:lpwstr>
  </property>
</Properties>
</file>