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什邡磷化工分公司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建筑物评估</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编号：SFLHG-GKBX-2025-FW41</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什邡磷化工分公司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8</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20</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什邡磷化工分公司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建筑物评估服务采购</w:t>
      </w:r>
      <w:r>
        <w:rPr>
          <w:rFonts w:hint="eastAsia" w:ascii="黑体" w:hAnsi="黑体" w:eastAsia="黑体" w:cs="宋体"/>
          <w:b/>
          <w:color w:val="333333"/>
          <w:kern w:val="0"/>
          <w:sz w:val="32"/>
          <w:szCs w:val="32"/>
        </w:rPr>
        <w:t>比选</w:t>
      </w:r>
      <w:r>
        <w:rPr>
          <w:rFonts w:hint="eastAsia" w:ascii="黑体" w:hAnsi="黑体" w:eastAsia="黑体" w:cs="宋体"/>
          <w:b/>
          <w:color w:val="333333"/>
          <w:kern w:val="0"/>
          <w:sz w:val="32"/>
          <w:szCs w:val="32"/>
          <w:lang w:val="en-US" w:eastAsia="zh-CN"/>
        </w:rPr>
        <w:t>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编号：SFLHG-GKBX-2025-FW</w:t>
      </w:r>
      <w:bookmarkStart w:id="5" w:name="_GoBack"/>
      <w:bookmarkEnd w:id="5"/>
      <w:r>
        <w:rPr>
          <w:rFonts w:hint="eastAsia" w:ascii="黑体" w:hAnsi="黑体" w:eastAsia="黑体" w:cs="宋体"/>
          <w:b/>
          <w:color w:val="auto"/>
          <w:kern w:val="0"/>
          <w:sz w:val="28"/>
          <w:szCs w:val="28"/>
          <w:lang w:val="en-US" w:eastAsia="zh-CN"/>
        </w:rPr>
        <w:t>41</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什邡磷化工分公司因土地证过户需对建筑物评估，</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该标的物</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6146E5BF">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建筑物评估</w:t>
      </w:r>
    </w:p>
    <w:p w14:paraId="3189E225">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什邡磷化工分公司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3"/>
        <w:gridCol w:w="1433"/>
        <w:gridCol w:w="5574"/>
        <w:gridCol w:w="1510"/>
      </w:tblGrid>
      <w:tr w14:paraId="30364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序号</w:t>
            </w:r>
          </w:p>
        </w:tc>
        <w:tc>
          <w:tcPr>
            <w:tcW w:w="1433"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rPr>
            </w:pPr>
            <w:r>
              <w:rPr>
                <w:rFonts w:hint="eastAsia" w:ascii="黑体" w:hAnsi="黑体" w:eastAsia="黑体" w:cs="宋体"/>
                <w:kern w:val="0"/>
                <w:sz w:val="28"/>
                <w:szCs w:val="28"/>
              </w:rPr>
              <w:t>品名</w:t>
            </w:r>
          </w:p>
        </w:tc>
        <w:tc>
          <w:tcPr>
            <w:tcW w:w="5574"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主要内容</w:t>
            </w:r>
          </w:p>
        </w:tc>
        <w:tc>
          <w:tcPr>
            <w:tcW w:w="151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rPr>
            </w:pPr>
            <w:r>
              <w:rPr>
                <w:rFonts w:hint="eastAsia" w:ascii="黑体" w:hAnsi="黑体" w:eastAsia="黑体" w:cs="宋体"/>
                <w:kern w:val="0"/>
                <w:sz w:val="28"/>
                <w:szCs w:val="28"/>
              </w:rPr>
              <w:t>数量</w:t>
            </w:r>
          </w:p>
        </w:tc>
      </w:tr>
      <w:tr w14:paraId="2E57F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w:t>
            </w:r>
          </w:p>
        </w:tc>
        <w:tc>
          <w:tcPr>
            <w:tcW w:w="1433" w:type="dxa"/>
            <w:tcBorders>
              <w:left w:val="single" w:color="auto" w:sz="4" w:space="0"/>
            </w:tcBorders>
            <w:noWrap w:val="0"/>
            <w:vAlign w:val="center"/>
          </w:tcPr>
          <w:p w14:paraId="6CA0CEBB">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4"/>
                <w:szCs w:val="24"/>
                <w:lang w:val="en-US" w:eastAsia="zh-CN"/>
              </w:rPr>
              <w:t>评估服务</w:t>
            </w:r>
          </w:p>
        </w:tc>
        <w:tc>
          <w:tcPr>
            <w:tcW w:w="5574" w:type="dxa"/>
            <w:tcBorders>
              <w:right w:val="single" w:color="auto" w:sz="4" w:space="0"/>
            </w:tcBorders>
            <w:noWrap w:val="0"/>
            <w:vAlign w:val="center"/>
          </w:tcPr>
          <w:p w14:paraId="17A0ECDF">
            <w:pPr>
              <w:pStyle w:val="12"/>
              <w:keepNext w:val="0"/>
              <w:keepLines w:val="0"/>
              <w:pageBreakBefore w:val="0"/>
              <w:kinsoku/>
              <w:wordWrap/>
              <w:overflowPunct/>
              <w:topLinePunct w:val="0"/>
              <w:autoSpaceDE/>
              <w:autoSpaceDN/>
              <w:bidi w:val="0"/>
              <w:spacing w:before="0" w:beforeAutospacing="0" w:after="0" w:afterAutospacing="0" w:line="520" w:lineRule="exact"/>
              <w:jc w:val="lef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1、汽修厂综合用房、维修工间房等构建筑物评估；</w:t>
            </w:r>
          </w:p>
          <w:p w14:paraId="6A59EF6A">
            <w:pPr>
              <w:pStyle w:val="12"/>
              <w:keepNext w:val="0"/>
              <w:keepLines w:val="0"/>
              <w:pageBreakBefore w:val="0"/>
              <w:kinsoku/>
              <w:wordWrap/>
              <w:overflowPunct/>
              <w:topLinePunct w:val="0"/>
              <w:autoSpaceDE/>
              <w:autoSpaceDN/>
              <w:bidi w:val="0"/>
              <w:spacing w:before="0" w:beforeAutospacing="0" w:after="0" w:afterAutospacing="0" w:line="520" w:lineRule="exact"/>
              <w:jc w:val="left"/>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2、原编织袋厂土地上的两排砖混结构倒班宿舍平房和一栋两层高框架结构房屋评估；</w:t>
            </w:r>
          </w:p>
          <w:p w14:paraId="396F7F13">
            <w:pPr>
              <w:keepNext w:val="0"/>
              <w:keepLines w:val="0"/>
              <w:pageBreakBefore w:val="0"/>
              <w:kinsoku/>
              <w:wordWrap/>
              <w:overflowPunct/>
              <w:topLinePunct w:val="0"/>
              <w:autoSpaceDE/>
              <w:autoSpaceDN/>
              <w:bidi w:val="0"/>
              <w:spacing w:line="480" w:lineRule="exact"/>
              <w:jc w:val="left"/>
              <w:textAlignment w:val="auto"/>
              <w:rPr>
                <w:rFonts w:hint="default" w:ascii="黑体" w:hAnsi="黑体" w:eastAsia="黑体" w:cs="宋体"/>
                <w:kern w:val="0"/>
                <w:sz w:val="28"/>
                <w:szCs w:val="28"/>
                <w:lang w:val="en-US" w:eastAsia="zh-CN"/>
              </w:rPr>
            </w:pPr>
            <w:r>
              <w:rPr>
                <w:rFonts w:hint="eastAsia" w:ascii="黑体" w:hAnsi="黑体" w:eastAsia="黑体" w:cs="黑体"/>
                <w:sz w:val="24"/>
                <w:szCs w:val="24"/>
                <w:lang w:val="en-US" w:eastAsia="zh-CN"/>
              </w:rPr>
              <w:t>3、原砂厂土地上原水站一排砖混结构房屋、3间钢构棚评估。</w:t>
            </w:r>
          </w:p>
        </w:tc>
        <w:tc>
          <w:tcPr>
            <w:tcW w:w="1510" w:type="dxa"/>
            <w:tcBorders>
              <w:right w:val="single" w:color="auto" w:sz="4" w:space="0"/>
            </w:tcBorders>
            <w:noWrap w:val="0"/>
            <w:vAlign w:val="center"/>
          </w:tcPr>
          <w:p w14:paraId="37820356">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kern w:val="0"/>
                <w:sz w:val="28"/>
                <w:szCs w:val="28"/>
                <w:lang w:val="en-US" w:eastAsia="zh-CN"/>
              </w:rPr>
            </w:pPr>
            <w:r>
              <w:rPr>
                <w:rFonts w:hint="eastAsia" w:ascii="黑体" w:hAnsi="黑体" w:eastAsia="黑体" w:cs="黑体"/>
                <w:sz w:val="24"/>
                <w:szCs w:val="24"/>
                <w:lang w:val="en-US" w:eastAsia="zh-CN"/>
              </w:rPr>
              <w:t>建筑物约5353.22m²</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2.服务</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eastAsia" w:ascii="黑体" w:hAnsi="黑体" w:eastAsia="黑体"/>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服务工</w:t>
      </w:r>
      <w:r>
        <w:rPr>
          <w:rFonts w:hint="eastAsia" w:ascii="黑体" w:hAnsi="黑体" w:eastAsia="黑体" w:cs="宋体"/>
          <w:kern w:val="0"/>
          <w:sz w:val="28"/>
          <w:szCs w:val="28"/>
        </w:rPr>
        <w:t>期：</w:t>
      </w:r>
      <w:r>
        <w:rPr>
          <w:rFonts w:hint="eastAsia" w:ascii="黑体" w:hAnsi="黑体" w:eastAsia="黑体"/>
          <w:sz w:val="28"/>
          <w:szCs w:val="28"/>
        </w:rPr>
        <w:t>合同</w:t>
      </w:r>
      <w:r>
        <w:rPr>
          <w:rFonts w:hint="eastAsia" w:ascii="黑体" w:hAnsi="黑体" w:eastAsia="黑体"/>
          <w:sz w:val="28"/>
          <w:szCs w:val="28"/>
          <w:lang w:val="en-US" w:eastAsia="zh-CN"/>
        </w:rPr>
        <w:t>生效</w:t>
      </w:r>
      <w:r>
        <w:rPr>
          <w:rFonts w:ascii="黑体" w:hAnsi="黑体" w:eastAsia="黑体"/>
          <w:sz w:val="28"/>
          <w:szCs w:val="28"/>
        </w:rPr>
        <w:t>之日</w:t>
      </w:r>
      <w:r>
        <w:rPr>
          <w:rFonts w:hint="eastAsia" w:ascii="黑体" w:hAnsi="黑体" w:eastAsia="黑体"/>
          <w:sz w:val="28"/>
          <w:szCs w:val="28"/>
        </w:rPr>
        <w:t>起</w:t>
      </w:r>
      <w:r>
        <w:rPr>
          <w:rFonts w:hint="eastAsia" w:ascii="黑体" w:hAnsi="黑体" w:eastAsia="黑体"/>
          <w:sz w:val="28"/>
          <w:szCs w:val="28"/>
          <w:lang w:val="en-US" w:eastAsia="zh-CN"/>
        </w:rPr>
        <w:t>10</w:t>
      </w:r>
      <w:r>
        <w:rPr>
          <w:rFonts w:hint="eastAsia" w:ascii="黑体" w:hAnsi="黑体" w:eastAsia="黑体"/>
          <w:sz w:val="28"/>
          <w:szCs w:val="28"/>
        </w:rPr>
        <w:t>个自然日</w:t>
      </w:r>
      <w:r>
        <w:rPr>
          <w:rFonts w:hint="eastAsia" w:ascii="黑体" w:hAnsi="黑体" w:eastAsia="黑体" w:cs="Segoe UI"/>
          <w:kern w:val="0"/>
          <w:sz w:val="28"/>
          <w:szCs w:val="28"/>
        </w:rPr>
        <w:t>内提交</w:t>
      </w:r>
      <w:r>
        <w:rPr>
          <w:rFonts w:hint="eastAsia" w:ascii="黑体" w:hAnsi="黑体" w:eastAsia="黑体" w:cs="Segoe UI"/>
          <w:kern w:val="0"/>
          <w:sz w:val="28"/>
          <w:szCs w:val="28"/>
          <w:lang w:val="en-US" w:eastAsia="zh-CN"/>
        </w:rPr>
        <w:t>评估成果。</w:t>
      </w:r>
    </w:p>
    <w:p w14:paraId="3EE2CBE9">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收到</w:t>
      </w:r>
      <w:r>
        <w:rPr>
          <w:rFonts w:hint="eastAsia" w:ascii="黑体" w:hAnsi="黑体" w:eastAsia="黑体" w:cs="Segoe UI"/>
          <w:kern w:val="0"/>
          <w:sz w:val="28"/>
          <w:szCs w:val="28"/>
        </w:rPr>
        <w:t>正式</w:t>
      </w:r>
      <w:r>
        <w:rPr>
          <w:rFonts w:hint="eastAsia" w:ascii="黑体" w:hAnsi="黑体" w:eastAsia="黑体" w:cs="Segoe UI"/>
          <w:kern w:val="0"/>
          <w:sz w:val="28"/>
          <w:szCs w:val="28"/>
          <w:lang w:val="en-US" w:eastAsia="zh-CN"/>
        </w:rPr>
        <w:t>评估报告之日起20个工作日内付清全款</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w:t>
      </w:r>
      <w:r>
        <w:rPr>
          <w:rFonts w:hint="eastAsia" w:ascii="黑体" w:hAnsi="黑体" w:eastAsia="黑体" w:cs="宋体"/>
          <w:kern w:val="0"/>
          <w:sz w:val="28"/>
          <w:szCs w:val="28"/>
          <w:lang w:val="en-US" w:eastAsia="zh-CN"/>
        </w:rPr>
        <w:t>中选人</w:t>
      </w:r>
      <w:r>
        <w:rPr>
          <w:rFonts w:hint="eastAsia" w:ascii="黑体" w:hAnsi="黑体" w:eastAsia="黑体" w:cs="宋体"/>
          <w:kern w:val="0"/>
          <w:sz w:val="28"/>
          <w:szCs w:val="28"/>
        </w:rPr>
        <w:t>开具全额增值税专用发票(税率</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w:t>
      </w:r>
    </w:p>
    <w:p w14:paraId="2619F5F6">
      <w:pPr>
        <w:keepNext w:val="0"/>
        <w:keepLines w:val="0"/>
        <w:pageBreakBefore w:val="0"/>
        <w:numPr>
          <w:ilvl w:val="0"/>
          <w:numId w:val="0"/>
        </w:numPr>
        <w:kinsoku/>
        <w:wordWrap/>
        <w:overflowPunct/>
        <w:topLinePunct w:val="0"/>
        <w:autoSpaceDE/>
        <w:autoSpaceDN/>
        <w:bidi w:val="0"/>
        <w:snapToGrid/>
        <w:spacing w:line="40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5.资格要求：</w:t>
      </w:r>
    </w:p>
    <w:p w14:paraId="0A6B5AAE">
      <w:pPr>
        <w:keepNext w:val="0"/>
        <w:keepLines w:val="0"/>
        <w:pageBreakBefore w:val="0"/>
        <w:widowControl/>
        <w:shd w:val="clear" w:color="auto" w:fill="FFFFFF"/>
        <w:kinsoku/>
        <w:wordWrap/>
        <w:overflowPunct/>
        <w:topLinePunct w:val="0"/>
        <w:autoSpaceDE/>
        <w:autoSpaceDN/>
        <w:bidi w:val="0"/>
        <w:snapToGrid/>
        <w:spacing w:line="400" w:lineRule="exact"/>
        <w:jc w:val="left"/>
        <w:textAlignment w:val="auto"/>
        <w:rPr>
          <w:rFonts w:hint="eastAsia" w:ascii="黑体" w:hAnsi="黑体" w:eastAsia="黑体" w:cs="Segoe UI"/>
          <w:kern w:val="0"/>
          <w:sz w:val="28"/>
          <w:szCs w:val="28"/>
          <w:lang w:eastAsia="zh-CN"/>
        </w:rPr>
      </w:pPr>
      <w:r>
        <w:rPr>
          <w:rFonts w:hint="eastAsia" w:ascii="黑体" w:hAnsi="黑体" w:eastAsia="黑体" w:cs="Segoe UI"/>
          <w:kern w:val="0"/>
          <w:sz w:val="28"/>
          <w:szCs w:val="28"/>
          <w:lang w:val="en-US" w:eastAsia="zh-CN"/>
        </w:rPr>
        <w:t>5.1比选申请人</w:t>
      </w:r>
      <w:r>
        <w:rPr>
          <w:rFonts w:hint="eastAsia" w:ascii="黑体" w:hAnsi="黑体" w:eastAsia="黑体" w:cs="Segoe UI"/>
          <w:kern w:val="0"/>
          <w:sz w:val="28"/>
          <w:szCs w:val="28"/>
        </w:rPr>
        <w:t>须具有独立法人资格</w:t>
      </w:r>
      <w:r>
        <w:rPr>
          <w:rFonts w:hint="eastAsia" w:ascii="黑体" w:hAnsi="黑体" w:eastAsia="黑体" w:cs="Segoe UI"/>
          <w:kern w:val="0"/>
          <w:sz w:val="28"/>
          <w:szCs w:val="28"/>
          <w:lang w:eastAsia="zh-CN"/>
        </w:rPr>
        <w:t>（</w:t>
      </w:r>
      <w:r>
        <w:rPr>
          <w:rFonts w:hint="eastAsia" w:ascii="黑体" w:hAnsi="黑体" w:eastAsia="黑体" w:cs="Segoe UI"/>
          <w:kern w:val="0"/>
          <w:sz w:val="28"/>
          <w:szCs w:val="28"/>
        </w:rPr>
        <w:t>营业执照</w:t>
      </w:r>
      <w:r>
        <w:rPr>
          <w:rFonts w:hint="eastAsia" w:ascii="黑体" w:hAnsi="黑体" w:eastAsia="黑体" w:cs="Segoe UI"/>
          <w:kern w:val="0"/>
          <w:sz w:val="28"/>
          <w:szCs w:val="28"/>
          <w:lang w:eastAsia="zh-CN"/>
        </w:rPr>
        <w:t>）</w:t>
      </w:r>
      <w:r>
        <w:rPr>
          <w:rFonts w:hint="eastAsia" w:ascii="黑体" w:hAnsi="黑体" w:eastAsia="黑体" w:cs="Segoe UI"/>
          <w:kern w:val="0"/>
          <w:sz w:val="28"/>
          <w:szCs w:val="28"/>
        </w:rPr>
        <w:t>。</w:t>
      </w:r>
    </w:p>
    <w:p w14:paraId="60590236">
      <w:pPr>
        <w:keepNext w:val="0"/>
        <w:keepLines w:val="0"/>
        <w:pageBreakBefore w:val="0"/>
        <w:widowControl/>
        <w:shd w:val="clear" w:color="auto" w:fill="FFFFFF"/>
        <w:kinsoku/>
        <w:wordWrap/>
        <w:overflowPunct/>
        <w:topLinePunct w:val="0"/>
        <w:autoSpaceDE/>
        <w:autoSpaceDN/>
        <w:bidi w:val="0"/>
        <w:snapToGrid/>
        <w:spacing w:line="400" w:lineRule="exact"/>
        <w:jc w:val="left"/>
        <w:textAlignment w:val="auto"/>
        <w:rPr>
          <w:rFonts w:hint="eastAsia" w:ascii="黑体" w:hAnsi="黑体" w:eastAsia="黑体" w:cs="Segoe UI"/>
          <w:kern w:val="0"/>
          <w:sz w:val="28"/>
          <w:szCs w:val="28"/>
          <w:lang w:eastAsia="zh-CN"/>
        </w:rPr>
      </w:pPr>
      <w:r>
        <w:rPr>
          <w:rFonts w:hint="eastAsia" w:ascii="黑体" w:hAnsi="黑体" w:eastAsia="黑体" w:cs="Segoe UI"/>
          <w:kern w:val="0"/>
          <w:sz w:val="28"/>
          <w:szCs w:val="28"/>
          <w:lang w:val="en-US" w:eastAsia="zh-CN"/>
        </w:rPr>
        <w:t>5.</w:t>
      </w:r>
      <w:r>
        <w:rPr>
          <w:rFonts w:hint="eastAsia" w:ascii="黑体" w:hAnsi="黑体" w:eastAsia="黑体" w:cs="Segoe UI"/>
          <w:kern w:val="0"/>
          <w:sz w:val="28"/>
          <w:szCs w:val="28"/>
        </w:rPr>
        <w:t>2</w:t>
      </w:r>
      <w:r>
        <w:rPr>
          <w:rFonts w:ascii="黑体" w:hAnsi="黑体" w:eastAsia="黑体" w:cs="黑体"/>
          <w:spacing w:val="-31"/>
          <w:sz w:val="23"/>
          <w:szCs w:val="23"/>
        </w:rPr>
        <w:t xml:space="preserve"> </w:t>
      </w:r>
      <w:r>
        <w:rPr>
          <w:rFonts w:hint="eastAsia" w:ascii="黑体" w:hAnsi="黑体" w:eastAsia="黑体" w:cs="Segoe UI"/>
          <w:kern w:val="0"/>
          <w:sz w:val="28"/>
          <w:szCs w:val="28"/>
          <w:lang w:val="en-US" w:eastAsia="zh-CN"/>
        </w:rPr>
        <w:t>资产评估</w:t>
      </w:r>
      <w:r>
        <w:rPr>
          <w:rFonts w:hint="eastAsia" w:ascii="黑体" w:hAnsi="黑体" w:eastAsia="黑体" w:cs="Segoe UI"/>
          <w:kern w:val="0"/>
          <w:sz w:val="28"/>
          <w:szCs w:val="28"/>
        </w:rPr>
        <w:t>资质</w:t>
      </w:r>
      <w:r>
        <w:rPr>
          <w:rFonts w:hint="eastAsia" w:ascii="黑体" w:hAnsi="黑体" w:eastAsia="黑体" w:cs="Segoe UI"/>
          <w:kern w:val="0"/>
          <w:sz w:val="28"/>
          <w:szCs w:val="28"/>
          <w:lang w:val="en-US" w:eastAsia="zh-CN"/>
        </w:rPr>
        <w:t>二</w:t>
      </w:r>
      <w:r>
        <w:rPr>
          <w:rFonts w:hint="eastAsia" w:ascii="黑体" w:hAnsi="黑体" w:eastAsia="黑体" w:cs="Segoe UI"/>
          <w:kern w:val="0"/>
          <w:sz w:val="28"/>
          <w:szCs w:val="28"/>
        </w:rPr>
        <w:t>级</w:t>
      </w:r>
      <w:r>
        <w:rPr>
          <w:rFonts w:hint="eastAsia" w:ascii="黑体" w:hAnsi="黑体" w:eastAsia="黑体" w:cs="Segoe UI"/>
          <w:kern w:val="0"/>
          <w:sz w:val="28"/>
          <w:szCs w:val="28"/>
          <w:lang w:val="en-US" w:eastAsia="zh-CN"/>
        </w:rPr>
        <w:t>及以上</w:t>
      </w:r>
      <w:r>
        <w:rPr>
          <w:rFonts w:hint="eastAsia" w:ascii="黑体" w:hAnsi="黑体" w:eastAsia="黑体" w:cs="Segoe UI"/>
          <w:kern w:val="0"/>
          <w:sz w:val="28"/>
          <w:szCs w:val="28"/>
          <w:lang w:eastAsia="zh-CN"/>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lang w:eastAsia="zh-CN"/>
        </w:rPr>
        <w:t>.</w:t>
      </w:r>
      <w:r>
        <w:rPr>
          <w:rFonts w:hint="eastAsia" w:ascii="黑体" w:hAnsi="黑体" w:eastAsia="黑体" w:cs="黑体"/>
          <w:kern w:val="0"/>
          <w:sz w:val="28"/>
          <w:szCs w:val="28"/>
          <w:lang w:val="en-US" w:eastAsia="zh-CN" w:bidi="ar-SA"/>
        </w:rPr>
        <w:t>质量要求：评估报告成果若不满足主管部门审批认可的要求和备案要求，中选人负责免费整改，直到满足比选人土地过户登记需要。</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2025年8月21日14时 00 分至 2025年8月 25日 14时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8月 25日14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kern w:val="0"/>
          <w:sz w:val="28"/>
          <w:szCs w:val="28"/>
          <w:lang w:eastAsia="zh-CN"/>
        </w:rPr>
        <w:t>、</w:t>
      </w:r>
      <w:r>
        <w:rPr>
          <w:rFonts w:hint="eastAsia" w:ascii="黑体" w:hAnsi="黑体" w:eastAsia="黑体" w:cs="黑体"/>
          <w:sz w:val="28"/>
          <w:szCs w:val="28"/>
        </w:rPr>
        <w:t>合计金额（</w:t>
      </w:r>
      <w:r>
        <w:rPr>
          <w:rFonts w:hint="eastAsia" w:ascii="黑体" w:hAnsi="黑体" w:eastAsia="黑体" w:cs="黑体"/>
          <w:sz w:val="28"/>
          <w:szCs w:val="28"/>
          <w:lang w:val="en-US" w:eastAsia="zh-CN"/>
        </w:rPr>
        <w:t>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w:t>
      </w:r>
      <w:r>
        <w:rPr>
          <w:rFonts w:hint="eastAsia" w:ascii="黑体" w:hAnsi="黑体" w:eastAsia="黑体" w:cs="黑体"/>
          <w:sz w:val="28"/>
          <w:szCs w:val="28"/>
          <w:lang w:val="en-US" w:eastAsia="zh-CN"/>
        </w:rPr>
        <w:t>质保要求等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①报价函件。</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0295FE29">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Segoe UI"/>
          <w:kern w:val="0"/>
          <w:sz w:val="28"/>
          <w:szCs w:val="28"/>
        </w:rPr>
      </w:pPr>
      <w:r>
        <w:rPr>
          <w:rFonts w:hint="eastAsia" w:ascii="黑体" w:hAnsi="黑体" w:eastAsia="黑体" w:cs="黑体"/>
          <w:color w:val="auto"/>
          <w:kern w:val="0"/>
          <w:sz w:val="28"/>
          <w:szCs w:val="28"/>
        </w:rPr>
        <w:t>③</w:t>
      </w:r>
      <w:r>
        <w:rPr>
          <w:rFonts w:hint="eastAsia" w:ascii="黑体" w:hAnsi="黑体" w:eastAsia="黑体" w:cs="Segoe UI"/>
          <w:kern w:val="0"/>
          <w:sz w:val="28"/>
          <w:szCs w:val="28"/>
          <w:lang w:val="en-US" w:eastAsia="zh-CN"/>
        </w:rPr>
        <w:t>承诺函。</w:t>
      </w:r>
    </w:p>
    <w:p w14:paraId="3C6833CA">
      <w:pPr>
        <w:spacing w:line="420" w:lineRule="exact"/>
        <w:rPr>
          <w:rFonts w:ascii="黑体" w:hAnsi="黑体" w:eastAsia="黑体" w:cs="Times New Roman"/>
          <w:sz w:val="28"/>
          <w:szCs w:val="28"/>
        </w:rPr>
      </w:pPr>
      <w:r>
        <w:rPr>
          <w:rFonts w:hint="eastAsia" w:ascii="黑体" w:hAnsi="黑体" w:eastAsia="黑体" w:cs="Times New Roman"/>
          <w:sz w:val="28"/>
          <w:szCs w:val="28"/>
          <w:lang w:val="en-US" w:eastAsia="zh-CN"/>
        </w:rPr>
        <w:t>10.</w:t>
      </w:r>
      <w:r>
        <w:rPr>
          <w:rFonts w:hint="eastAsia" w:ascii="黑体" w:hAnsi="黑体" w:eastAsia="黑体" w:cs="Times New Roman"/>
          <w:sz w:val="28"/>
          <w:szCs w:val="28"/>
        </w:rPr>
        <w:t>比选时不保证最低价中选，但充分注意合理的最低报价。</w:t>
      </w:r>
    </w:p>
    <w:p w14:paraId="6A7B960F">
      <w:pPr>
        <w:keepNext w:val="0"/>
        <w:keepLines w:val="0"/>
        <w:pageBreakBefore w:val="0"/>
        <w:kinsoku/>
        <w:wordWrap/>
        <w:overflowPunct/>
        <w:topLinePunct w:val="0"/>
        <w:autoSpaceDE/>
        <w:autoSpaceDN/>
        <w:bidi w:val="0"/>
        <w:snapToGrid/>
        <w:spacing w:line="40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技术咨询：冯俊13550621816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6020" w:firstLineChars="2150"/>
        <w:jc w:val="lef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什邡磷化工分公司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8</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20</w:t>
      </w:r>
      <w:r>
        <w:rPr>
          <w:rFonts w:hint="eastAsia" w:ascii="黑体" w:hAnsi="黑体" w:eastAsia="黑体" w:cs="宋体"/>
          <w:kern w:val="0"/>
          <w:sz w:val="28"/>
          <w:szCs w:val="28"/>
        </w:rPr>
        <w:t>日</w:t>
      </w:r>
    </w:p>
    <w:p w14:paraId="12331C79">
      <w:pPr>
        <w:pStyle w:val="49"/>
        <w:rPr>
          <w:rFonts w:hint="eastAsia"/>
        </w:rPr>
      </w:pPr>
    </w:p>
    <w:p w14:paraId="1B73FAF0">
      <w:pPr>
        <w:pStyle w:val="49"/>
        <w:rPr>
          <w:rFonts w:hint="eastAsia"/>
        </w:rPr>
      </w:pPr>
    </w:p>
    <w:p w14:paraId="10E0B31B">
      <w:pPr>
        <w:pStyle w:val="49"/>
        <w:rPr>
          <w:rFonts w:hint="eastAsia"/>
        </w:rPr>
      </w:pPr>
    </w:p>
    <w:p w14:paraId="2438A38F">
      <w:pPr>
        <w:pStyle w:val="49"/>
        <w:rPr>
          <w:rFonts w:hint="eastAsia"/>
        </w:rPr>
      </w:pPr>
    </w:p>
    <w:p w14:paraId="5EBF0292">
      <w:pPr>
        <w:pStyle w:val="49"/>
        <w:rPr>
          <w:rFonts w:hint="eastAsia"/>
        </w:rPr>
      </w:pPr>
    </w:p>
    <w:p w14:paraId="739957D7">
      <w:pPr>
        <w:pStyle w:val="49"/>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default" w:ascii="黑体" w:hAnsi="黑体" w:eastAsia="黑体" w:cs="黑体"/>
          <w:b/>
          <w:bCs/>
          <w:sz w:val="32"/>
          <w:szCs w:val="32"/>
          <w:lang w:val="en-US" w:eastAsia="zh-CN"/>
        </w:rPr>
      </w:pPr>
      <w:r>
        <w:rPr>
          <w:rFonts w:hint="eastAsia" w:ascii="黑体" w:hAnsi="黑体" w:eastAsia="黑体" w:cs="宋体"/>
          <w:b/>
          <w:color w:val="333333"/>
          <w:kern w:val="0"/>
          <w:sz w:val="32"/>
          <w:szCs w:val="32"/>
          <w:lang w:val="en-US" w:eastAsia="zh-CN"/>
        </w:rPr>
        <w:t>建筑物评估服务</w:t>
      </w:r>
    </w:p>
    <w:p w14:paraId="4C17A279">
      <w:pPr>
        <w:jc w:val="center"/>
        <w:rPr>
          <w:rFonts w:hint="eastAsia" w:ascii="黑体" w:hAnsi="黑体" w:eastAsia="黑体" w:cs="黑体"/>
          <w:b/>
          <w:bCs/>
          <w:sz w:val="32"/>
          <w:szCs w:val="32"/>
        </w:rPr>
      </w:pPr>
    </w:p>
    <w:p w14:paraId="26DFE4FB">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响应性</w:t>
      </w:r>
      <w:r>
        <w:rPr>
          <w:rFonts w:hint="eastAsia" w:ascii="黑体" w:hAnsi="黑体" w:eastAsia="黑体" w:cs="黑体"/>
          <w:b/>
          <w:bCs/>
          <w:sz w:val="32"/>
          <w:szCs w:val="32"/>
        </w:rPr>
        <w:t>文件</w:t>
      </w:r>
    </w:p>
    <w:p w14:paraId="2D3A4F1A">
      <w:pPr>
        <w:kinsoku/>
        <w:overflowPunct/>
        <w:topLinePunct w:val="0"/>
        <w:bidi w:val="0"/>
        <w:ind w:left="0" w:leftChars="0" w:right="0" w:rightChars="0" w:firstLine="720" w:firstLineChars="200"/>
        <w:jc w:val="center"/>
        <w:rPr>
          <w:rFonts w:ascii="黑体" w:hAnsi="宋体" w:eastAsia="黑体"/>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539CF4AA">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2" w:name="_Toc4384"/>
      <w:bookmarkStart w:id="3" w:name="_Toc9978"/>
      <w:bookmarkStart w:id="4" w:name="_Toc3019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2"/>
      <w:bookmarkEnd w:id="3"/>
      <w:bookmarkEnd w:id="4"/>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1"/>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1"/>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rPr>
        <w:t>报价表</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499" w:type="dxa"/>
        <w:tblInd w:w="0" w:type="dxa"/>
        <w:shd w:val="clear" w:color="auto" w:fill="auto"/>
        <w:tblLayout w:type="fixed"/>
        <w:tblCellMar>
          <w:top w:w="0" w:type="dxa"/>
          <w:left w:w="0" w:type="dxa"/>
          <w:bottom w:w="0" w:type="dxa"/>
          <w:right w:w="0" w:type="dxa"/>
        </w:tblCellMar>
      </w:tblPr>
      <w:tblGrid>
        <w:gridCol w:w="705"/>
        <w:gridCol w:w="1894"/>
        <w:gridCol w:w="3739"/>
        <w:gridCol w:w="1247"/>
        <w:gridCol w:w="1687"/>
        <w:gridCol w:w="1227"/>
      </w:tblGrid>
      <w:tr w14:paraId="5D6A8E4E">
        <w:tblPrEx>
          <w:shd w:val="clear" w:color="auto" w:fill="auto"/>
          <w:tblCellMar>
            <w:top w:w="0" w:type="dxa"/>
            <w:left w:w="0" w:type="dxa"/>
            <w:bottom w:w="0" w:type="dxa"/>
            <w:right w:w="0" w:type="dxa"/>
          </w:tblCellMar>
        </w:tblPrEx>
        <w:trPr>
          <w:trHeight w:val="480" w:hRule="atLeast"/>
          <w:tblHeader/>
        </w:trPr>
        <w:tc>
          <w:tcPr>
            <w:tcW w:w="705" w:type="dxa"/>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序号</w:t>
            </w:r>
          </w:p>
        </w:tc>
        <w:tc>
          <w:tcPr>
            <w:tcW w:w="5633" w:type="dxa"/>
            <w:gridSpan w:val="2"/>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主要内容</w:t>
            </w:r>
          </w:p>
        </w:tc>
        <w:tc>
          <w:tcPr>
            <w:tcW w:w="124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16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p w14:paraId="69D8E29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含税金额（元）</w:t>
            </w:r>
          </w:p>
        </w:tc>
        <w:tc>
          <w:tcPr>
            <w:tcW w:w="1227" w:type="dxa"/>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563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BB0DB4">
            <w:pPr>
              <w:pStyle w:val="12"/>
              <w:keepNext w:val="0"/>
              <w:keepLines w:val="0"/>
              <w:pageBreakBefore w:val="0"/>
              <w:kinsoku/>
              <w:wordWrap/>
              <w:overflowPunct/>
              <w:topLinePunct w:val="0"/>
              <w:autoSpaceDE/>
              <w:autoSpaceDN/>
              <w:bidi w:val="0"/>
              <w:spacing w:before="0" w:beforeAutospacing="0" w:after="0" w:afterAutospacing="0" w:line="520" w:lineRule="exact"/>
              <w:jc w:val="lef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1、汽修厂综合用房、维修工间房等构建筑物评估；</w:t>
            </w:r>
          </w:p>
          <w:p w14:paraId="474FE306">
            <w:pPr>
              <w:pStyle w:val="12"/>
              <w:keepNext w:val="0"/>
              <w:keepLines w:val="0"/>
              <w:pageBreakBefore w:val="0"/>
              <w:kinsoku/>
              <w:wordWrap/>
              <w:overflowPunct/>
              <w:topLinePunct w:val="0"/>
              <w:autoSpaceDE/>
              <w:autoSpaceDN/>
              <w:bidi w:val="0"/>
              <w:spacing w:before="0" w:beforeAutospacing="0" w:after="0" w:afterAutospacing="0" w:line="520" w:lineRule="exact"/>
              <w:jc w:val="left"/>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2、原编织袋厂土地上的两排砖混结构倒班宿舍平房和一栋两层高框架结构房屋评估；</w:t>
            </w:r>
          </w:p>
          <w:p w14:paraId="49034FBA">
            <w:pPr>
              <w:jc w:val="left"/>
              <w:rPr>
                <w:rFonts w:hint="eastAsia" w:ascii="宋体" w:hAnsi="宋体" w:eastAsia="宋体" w:cs="宋体"/>
                <w:i w:val="0"/>
                <w:color w:val="auto"/>
                <w:sz w:val="18"/>
                <w:szCs w:val="18"/>
                <w:highlight w:val="none"/>
                <w:u w:val="none"/>
              </w:rPr>
            </w:pPr>
            <w:r>
              <w:rPr>
                <w:rFonts w:hint="eastAsia" w:ascii="黑体" w:hAnsi="黑体" w:eastAsia="黑体" w:cs="黑体"/>
                <w:sz w:val="24"/>
                <w:szCs w:val="24"/>
                <w:lang w:val="en-US" w:eastAsia="zh-CN"/>
              </w:rPr>
              <w:t>3、原砂厂土地上原水站一排砖混结构房屋、3间钢构棚评估。</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r>
              <w:rPr>
                <w:rFonts w:hint="eastAsia" w:ascii="黑体" w:hAnsi="黑体" w:eastAsia="黑体" w:cs="黑体"/>
                <w:sz w:val="24"/>
                <w:szCs w:val="24"/>
                <w:lang w:val="en-US" w:eastAsia="zh-CN"/>
              </w:rPr>
              <w:t>建筑物约5353.22m²</w:t>
            </w:r>
          </w:p>
        </w:tc>
        <w:tc>
          <w:tcPr>
            <w:tcW w:w="16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27"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900" w:type="dxa"/>
            <w:gridSpan w:val="4"/>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1AB6FCC">
      <w:pPr>
        <w:kinsoku/>
        <w:overflowPunct/>
        <w:topLinePunct w:val="0"/>
        <w:bidi w:val="0"/>
        <w:ind w:left="0" w:leftChars="0" w:right="0" w:rightChars="0" w:firstLine="562" w:firstLineChars="200"/>
        <w:jc w:val="both"/>
        <w:rPr>
          <w:rFonts w:hint="default" w:ascii="宋体" w:hAnsi="宋体" w:cs="宋体"/>
          <w:b/>
          <w:bCs/>
          <w:color w:val="auto"/>
          <w:sz w:val="28"/>
          <w:szCs w:val="28"/>
          <w:lang w:val="en-US" w:eastAsia="zh-CN"/>
        </w:rPr>
      </w:pPr>
      <w:r>
        <w:rPr>
          <w:rFonts w:hint="eastAsia" w:ascii="宋体" w:hAnsi="宋体" w:cs="宋体"/>
          <w:b/>
          <w:bCs/>
          <w:color w:val="auto"/>
          <w:sz w:val="28"/>
          <w:szCs w:val="28"/>
          <w:lang w:val="en-US" w:eastAsia="zh-CN"/>
        </w:rPr>
        <w:t>（二）营业执照</w:t>
      </w:r>
    </w:p>
    <w:p w14:paraId="6839F7A5">
      <w:pPr>
        <w:kinsoku/>
        <w:overflowPunct/>
        <w:topLinePunct w:val="0"/>
        <w:bidi w:val="0"/>
        <w:ind w:left="0" w:leftChars="0" w:right="0" w:rightChars="0" w:firstLine="562" w:firstLineChars="200"/>
        <w:jc w:val="center"/>
        <w:rPr>
          <w:rFonts w:hint="eastAsia" w:ascii="宋体" w:hAnsi="宋体" w:cs="宋体"/>
          <w:b/>
          <w:bCs/>
          <w:color w:val="auto"/>
          <w:sz w:val="28"/>
          <w:szCs w:val="28"/>
          <w:lang w:val="en-US" w:eastAsia="zh-CN"/>
        </w:rPr>
      </w:pPr>
    </w:p>
    <w:p w14:paraId="4DB7856E">
      <w:pPr>
        <w:kinsoku/>
        <w:overflowPunct/>
        <w:topLinePunct w:val="0"/>
        <w:bidi w:val="0"/>
        <w:ind w:left="0" w:leftChars="0" w:right="0" w:rightChars="0" w:firstLine="562" w:firstLineChars="200"/>
        <w:jc w:val="center"/>
        <w:rPr>
          <w:rFonts w:hint="eastAsia" w:ascii="宋体" w:hAnsi="宋体" w:cs="宋体"/>
          <w:b/>
          <w:bCs/>
          <w:color w:val="auto"/>
          <w:sz w:val="28"/>
          <w:szCs w:val="28"/>
          <w:lang w:val="en-US" w:eastAsia="zh-CN"/>
        </w:rPr>
      </w:pPr>
    </w:p>
    <w:p w14:paraId="3CF6304F">
      <w:pPr>
        <w:kinsoku/>
        <w:overflowPunct/>
        <w:topLinePunct w:val="0"/>
        <w:bidi w:val="0"/>
        <w:ind w:left="0" w:leftChars="0" w:right="0" w:rightChars="0" w:firstLine="562" w:firstLineChars="200"/>
        <w:jc w:val="center"/>
        <w:rPr>
          <w:rFonts w:hint="eastAsia" w:ascii="宋体" w:hAnsi="宋体" w:cs="宋体"/>
          <w:b/>
          <w:bCs/>
          <w:color w:val="auto"/>
          <w:sz w:val="28"/>
          <w:szCs w:val="28"/>
          <w:lang w:val="en-US" w:eastAsia="zh-CN"/>
        </w:rPr>
      </w:pPr>
    </w:p>
    <w:p w14:paraId="3DAEC403">
      <w:pPr>
        <w:kinsoku/>
        <w:overflowPunct/>
        <w:topLinePunct w:val="0"/>
        <w:bidi w:val="0"/>
        <w:ind w:left="0" w:leftChars="0" w:right="0" w:rightChars="0" w:firstLine="562" w:firstLineChars="200"/>
        <w:jc w:val="center"/>
        <w:rPr>
          <w:rFonts w:hint="eastAsia" w:ascii="宋体" w:hAnsi="宋体" w:cs="宋体"/>
          <w:b/>
          <w:bCs/>
          <w:color w:val="auto"/>
          <w:sz w:val="28"/>
          <w:szCs w:val="28"/>
          <w:lang w:val="en-US" w:eastAsia="zh-CN"/>
        </w:rPr>
      </w:pPr>
    </w:p>
    <w:p w14:paraId="3C17EF95">
      <w:pPr>
        <w:kinsoku/>
        <w:overflowPunct/>
        <w:topLinePunct w:val="0"/>
        <w:bidi w:val="0"/>
        <w:ind w:left="0" w:leftChars="0" w:right="0" w:rightChars="0" w:firstLine="562" w:firstLineChars="200"/>
        <w:jc w:val="center"/>
        <w:rPr>
          <w:rFonts w:hint="eastAsia" w:ascii="宋体" w:hAnsi="宋体" w:cs="宋体"/>
          <w:b/>
          <w:bCs/>
          <w:color w:val="auto"/>
          <w:sz w:val="28"/>
          <w:szCs w:val="28"/>
          <w:lang w:val="en-US" w:eastAsia="zh-CN"/>
        </w:rPr>
      </w:pPr>
    </w:p>
    <w:p w14:paraId="4F9D4847">
      <w:pPr>
        <w:kinsoku/>
        <w:overflowPunct/>
        <w:topLinePunct w:val="0"/>
        <w:bidi w:val="0"/>
        <w:ind w:left="0" w:leftChars="0" w:right="0" w:rightChars="0" w:firstLine="562" w:firstLineChars="200"/>
        <w:jc w:val="center"/>
        <w:rPr>
          <w:rFonts w:hint="eastAsia" w:ascii="宋体" w:hAnsi="宋体" w:cs="宋体"/>
          <w:b/>
          <w:bCs/>
          <w:color w:val="auto"/>
          <w:sz w:val="28"/>
          <w:szCs w:val="28"/>
          <w:lang w:val="en-US" w:eastAsia="zh-CN"/>
        </w:rPr>
      </w:pPr>
    </w:p>
    <w:p w14:paraId="5D8CB406">
      <w:pPr>
        <w:kinsoku/>
        <w:overflowPunct/>
        <w:topLinePunct w:val="0"/>
        <w:bidi w:val="0"/>
        <w:ind w:left="0" w:leftChars="0" w:right="0" w:rightChars="0" w:firstLine="562" w:firstLineChars="200"/>
        <w:jc w:val="center"/>
        <w:rPr>
          <w:rFonts w:hint="eastAsia" w:ascii="宋体" w:hAnsi="宋体" w:cs="宋体"/>
          <w:b/>
          <w:bCs/>
          <w:color w:val="auto"/>
          <w:sz w:val="28"/>
          <w:szCs w:val="28"/>
          <w:lang w:val="en-US" w:eastAsia="zh-CN"/>
        </w:rPr>
      </w:pPr>
    </w:p>
    <w:p w14:paraId="6D271676">
      <w:pPr>
        <w:kinsoku/>
        <w:overflowPunct/>
        <w:topLinePunct w:val="0"/>
        <w:bidi w:val="0"/>
        <w:ind w:left="0" w:leftChars="0" w:right="0" w:rightChars="0" w:firstLine="562" w:firstLineChars="200"/>
        <w:jc w:val="center"/>
        <w:rPr>
          <w:rFonts w:hint="eastAsia" w:ascii="宋体" w:hAnsi="宋体" w:cs="宋体"/>
          <w:b/>
          <w:bCs/>
          <w:color w:val="auto"/>
          <w:sz w:val="28"/>
          <w:szCs w:val="28"/>
          <w:lang w:val="en-US" w:eastAsia="zh-CN"/>
        </w:rPr>
      </w:pPr>
    </w:p>
    <w:p w14:paraId="23840079">
      <w:pPr>
        <w:kinsoku/>
        <w:overflowPunct/>
        <w:topLinePunct w:val="0"/>
        <w:bidi w:val="0"/>
        <w:ind w:left="0" w:leftChars="0" w:right="0" w:rightChars="0" w:firstLine="562" w:firstLineChars="200"/>
        <w:jc w:val="center"/>
        <w:rPr>
          <w:rFonts w:hint="eastAsia" w:ascii="宋体" w:hAnsi="宋体" w:cs="宋体"/>
          <w:b/>
          <w:bCs/>
          <w:color w:val="auto"/>
          <w:sz w:val="28"/>
          <w:szCs w:val="28"/>
          <w:lang w:val="en-US" w:eastAsia="zh-CN"/>
        </w:rPr>
      </w:pPr>
    </w:p>
    <w:p w14:paraId="3B614B79">
      <w:pPr>
        <w:kinsoku/>
        <w:overflowPunct/>
        <w:topLinePunct w:val="0"/>
        <w:bidi w:val="0"/>
        <w:ind w:left="0" w:leftChars="0" w:right="0" w:rightChars="0" w:firstLine="562" w:firstLineChars="200"/>
        <w:jc w:val="center"/>
        <w:rPr>
          <w:rFonts w:hint="eastAsia" w:ascii="宋体" w:hAnsi="宋体" w:cs="宋体"/>
          <w:b/>
          <w:bCs/>
          <w:color w:val="auto"/>
          <w:sz w:val="28"/>
          <w:szCs w:val="28"/>
          <w:lang w:val="en-US" w:eastAsia="zh-CN"/>
        </w:rPr>
      </w:pPr>
    </w:p>
    <w:p w14:paraId="4094A8CA">
      <w:pPr>
        <w:kinsoku/>
        <w:overflowPunct/>
        <w:topLinePunct w:val="0"/>
        <w:bidi w:val="0"/>
        <w:ind w:left="0" w:leftChars="0" w:right="0" w:rightChars="0" w:firstLine="562" w:firstLineChars="200"/>
        <w:jc w:val="center"/>
        <w:rPr>
          <w:rFonts w:hint="eastAsia" w:ascii="宋体" w:hAnsi="宋体" w:cs="宋体"/>
          <w:b/>
          <w:bCs/>
          <w:color w:val="auto"/>
          <w:sz w:val="28"/>
          <w:szCs w:val="28"/>
          <w:lang w:val="en-US" w:eastAsia="zh-CN"/>
        </w:rPr>
      </w:pPr>
    </w:p>
    <w:p w14:paraId="795F48CD">
      <w:pPr>
        <w:kinsoku/>
        <w:overflowPunct/>
        <w:topLinePunct w:val="0"/>
        <w:bidi w:val="0"/>
        <w:ind w:left="0" w:leftChars="0" w:right="0" w:rightChars="0" w:firstLine="562" w:firstLineChars="200"/>
        <w:jc w:val="center"/>
        <w:rPr>
          <w:rFonts w:hint="eastAsia" w:ascii="宋体" w:hAnsi="宋体" w:cs="宋体"/>
          <w:b/>
          <w:bCs/>
          <w:color w:val="auto"/>
          <w:sz w:val="28"/>
          <w:szCs w:val="28"/>
          <w:lang w:val="en-US" w:eastAsia="zh-CN"/>
        </w:rPr>
      </w:pPr>
    </w:p>
    <w:p w14:paraId="095EC6F6">
      <w:pPr>
        <w:kinsoku/>
        <w:overflowPunct/>
        <w:topLinePunct w:val="0"/>
        <w:bidi w:val="0"/>
        <w:ind w:left="0" w:leftChars="0" w:right="0" w:rightChars="0" w:firstLine="562" w:firstLineChars="200"/>
        <w:jc w:val="center"/>
        <w:rPr>
          <w:rFonts w:hint="eastAsia" w:ascii="宋体" w:hAnsi="宋体" w:cs="宋体"/>
          <w:b/>
          <w:bCs/>
          <w:color w:val="auto"/>
          <w:sz w:val="28"/>
          <w:szCs w:val="28"/>
          <w:lang w:val="en-US" w:eastAsia="zh-CN"/>
        </w:rPr>
      </w:pPr>
    </w:p>
    <w:p w14:paraId="6B3AFFC6">
      <w:pPr>
        <w:kinsoku/>
        <w:overflowPunct/>
        <w:topLinePunct w:val="0"/>
        <w:bidi w:val="0"/>
        <w:ind w:left="0" w:leftChars="0" w:right="0" w:rightChars="0" w:firstLine="562" w:firstLineChars="200"/>
        <w:jc w:val="center"/>
        <w:rPr>
          <w:rFonts w:hint="eastAsia" w:ascii="宋体" w:hAnsi="宋体" w:cs="宋体"/>
          <w:b/>
          <w:bCs/>
          <w:color w:val="auto"/>
          <w:sz w:val="28"/>
          <w:szCs w:val="28"/>
          <w:lang w:val="en-US" w:eastAsia="zh-CN"/>
        </w:rPr>
      </w:pPr>
    </w:p>
    <w:p w14:paraId="13228C7E">
      <w:pPr>
        <w:kinsoku/>
        <w:overflowPunct/>
        <w:topLinePunct w:val="0"/>
        <w:bidi w:val="0"/>
        <w:ind w:left="0" w:leftChars="0" w:right="0" w:rightChars="0" w:firstLine="562" w:firstLineChars="200"/>
        <w:jc w:val="center"/>
        <w:rPr>
          <w:rFonts w:hint="eastAsia" w:ascii="宋体" w:hAnsi="宋体" w:cs="宋体"/>
          <w:b/>
          <w:bCs/>
          <w:color w:val="auto"/>
          <w:sz w:val="28"/>
          <w:szCs w:val="28"/>
          <w:lang w:val="en-US" w:eastAsia="zh-CN"/>
        </w:rPr>
      </w:pPr>
    </w:p>
    <w:p w14:paraId="03221178">
      <w:pPr>
        <w:kinsoku/>
        <w:overflowPunct/>
        <w:topLinePunct w:val="0"/>
        <w:bidi w:val="0"/>
        <w:ind w:left="0" w:leftChars="0" w:right="0" w:rightChars="0" w:firstLine="562" w:firstLineChars="200"/>
        <w:jc w:val="center"/>
        <w:rPr>
          <w:rFonts w:hint="eastAsia" w:ascii="宋体" w:hAnsi="宋体" w:cs="宋体"/>
          <w:b/>
          <w:bCs/>
          <w:color w:val="auto"/>
          <w:sz w:val="28"/>
          <w:szCs w:val="28"/>
          <w:lang w:val="en-US" w:eastAsia="zh-CN"/>
        </w:rPr>
      </w:pPr>
    </w:p>
    <w:p w14:paraId="6FC5C2AE">
      <w:pPr>
        <w:kinsoku/>
        <w:overflowPunct/>
        <w:topLinePunct w:val="0"/>
        <w:bidi w:val="0"/>
        <w:ind w:left="0" w:leftChars="0" w:right="0" w:rightChars="0" w:firstLine="562" w:firstLineChars="200"/>
        <w:jc w:val="center"/>
        <w:rPr>
          <w:rFonts w:hint="eastAsia" w:ascii="宋体" w:hAnsi="宋体" w:cs="宋体"/>
          <w:b/>
          <w:bCs/>
          <w:color w:val="auto"/>
          <w:sz w:val="28"/>
          <w:szCs w:val="28"/>
          <w:lang w:val="en-US" w:eastAsia="zh-CN"/>
        </w:rPr>
      </w:pPr>
    </w:p>
    <w:p w14:paraId="7E13199F">
      <w:pPr>
        <w:kinsoku/>
        <w:overflowPunct/>
        <w:topLinePunct w:val="0"/>
        <w:bidi w:val="0"/>
        <w:ind w:left="0" w:leftChars="0" w:right="0" w:rightChars="0" w:firstLine="562" w:firstLineChars="200"/>
        <w:jc w:val="center"/>
        <w:rPr>
          <w:rFonts w:hint="eastAsia" w:ascii="宋体" w:hAnsi="宋体" w:cs="宋体"/>
          <w:b/>
          <w:bCs/>
          <w:color w:val="auto"/>
          <w:sz w:val="28"/>
          <w:szCs w:val="28"/>
          <w:lang w:val="en-US" w:eastAsia="zh-CN"/>
        </w:rPr>
      </w:pPr>
    </w:p>
    <w:p w14:paraId="41380F42">
      <w:pPr>
        <w:kinsoku/>
        <w:overflowPunct/>
        <w:topLinePunct w:val="0"/>
        <w:bidi w:val="0"/>
        <w:ind w:left="0" w:leftChars="0" w:right="0" w:rightChars="0" w:firstLine="562" w:firstLineChars="200"/>
        <w:jc w:val="center"/>
        <w:rPr>
          <w:rFonts w:hint="eastAsia" w:ascii="宋体" w:hAnsi="宋体" w:cs="宋体"/>
          <w:b/>
          <w:bCs/>
          <w:color w:val="auto"/>
          <w:sz w:val="28"/>
          <w:szCs w:val="28"/>
          <w:lang w:val="en-US" w:eastAsia="zh-CN"/>
        </w:rPr>
      </w:pPr>
    </w:p>
    <w:p w14:paraId="72084A6F">
      <w:pPr>
        <w:kinsoku/>
        <w:overflowPunct/>
        <w:topLinePunct w:val="0"/>
        <w:bidi w:val="0"/>
        <w:ind w:right="0" w:rightChars="0"/>
        <w:jc w:val="both"/>
        <w:rPr>
          <w:rFonts w:hint="eastAsia" w:ascii="宋体" w:hAnsi="宋体" w:cs="宋体"/>
          <w:b/>
          <w:bCs/>
          <w:color w:val="auto"/>
          <w:sz w:val="28"/>
          <w:szCs w:val="28"/>
          <w:lang w:val="en-US" w:eastAsia="zh-CN"/>
        </w:rPr>
      </w:pPr>
    </w:p>
    <w:p w14:paraId="63B45BD2">
      <w:pPr>
        <w:kinsoku/>
        <w:overflowPunct/>
        <w:topLinePunct w:val="0"/>
        <w:bidi w:val="0"/>
        <w:ind w:right="0" w:rightChars="0"/>
        <w:jc w:val="both"/>
        <w:rPr>
          <w:rFonts w:hint="eastAsia" w:ascii="宋体" w:hAnsi="宋体" w:cs="宋体"/>
          <w:b/>
          <w:bCs/>
          <w:color w:val="auto"/>
          <w:sz w:val="28"/>
          <w:szCs w:val="28"/>
          <w:lang w:val="en-US" w:eastAsia="zh-CN"/>
        </w:rPr>
      </w:pPr>
    </w:p>
    <w:p w14:paraId="7CA27629">
      <w:pPr>
        <w:kinsoku/>
        <w:overflowPunct/>
        <w:topLinePunct w:val="0"/>
        <w:bidi w:val="0"/>
        <w:ind w:left="0" w:leftChars="0" w:right="0" w:rightChars="0" w:firstLine="562" w:firstLineChars="200"/>
        <w:jc w:val="both"/>
        <w:rPr>
          <w:rFonts w:hint="default" w:ascii="宋体" w:hAnsi="宋体" w:cs="宋体" w:eastAsiaTheme="minorEastAsia"/>
          <w:b/>
          <w:bCs/>
          <w:color w:val="auto"/>
          <w:sz w:val="28"/>
          <w:szCs w:val="28"/>
          <w:lang w:val="en-US" w:eastAsia="zh-CN"/>
        </w:rPr>
      </w:pPr>
      <w:r>
        <w:rPr>
          <w:rFonts w:hint="eastAsia" w:ascii="宋体" w:hAnsi="宋体" w:cs="宋体"/>
          <w:b/>
          <w:bCs/>
          <w:color w:val="auto"/>
          <w:sz w:val="28"/>
          <w:szCs w:val="28"/>
          <w:lang w:val="en-US" w:eastAsia="zh-CN"/>
        </w:rPr>
        <w:t>（三）资质证明文件</w:t>
      </w:r>
    </w:p>
    <w:p w14:paraId="7996355F">
      <w:pPr>
        <w:widowControl/>
        <w:kinsoku/>
        <w:overflowPunct/>
        <w:topLinePunct w:val="0"/>
        <w:bidi w:val="0"/>
        <w:spacing w:line="360" w:lineRule="auto"/>
        <w:ind w:left="0" w:leftChars="0" w:right="0" w:rightChars="0" w:firstLine="480" w:firstLineChars="200"/>
        <w:rPr>
          <w:rFonts w:hint="eastAsia"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p>
    <w:p w14:paraId="6A44F188">
      <w:pPr>
        <w:tabs>
          <w:tab w:val="left" w:pos="6120"/>
          <w:tab w:val="left" w:pos="6510"/>
          <w:tab w:val="left" w:pos="12495"/>
        </w:tabs>
        <w:kinsoku/>
        <w:overflowPunct/>
        <w:topLinePunct w:val="0"/>
        <w:bidi w:val="0"/>
        <w:spacing w:line="360" w:lineRule="auto"/>
        <w:ind w:right="0" w:rightChars="0"/>
        <w:jc w:val="left"/>
        <w:rPr>
          <w:rFonts w:hint="eastAsia" w:ascii="宋体" w:hAnsi="宋体"/>
          <w:b/>
          <w:color w:val="auto"/>
          <w:sz w:val="28"/>
        </w:rPr>
      </w:pPr>
      <w:r>
        <w:rPr>
          <w:rFonts w:hint="eastAsia" w:ascii="宋体" w:hAnsi="宋体"/>
          <w:color w:val="auto"/>
          <w:szCs w:val="21"/>
        </w:rPr>
        <w:t xml:space="preserve">  </w:t>
      </w:r>
      <w:r>
        <w:rPr>
          <w:rFonts w:hint="eastAsia"/>
          <w:color w:val="auto"/>
        </w:rPr>
        <w:t xml:space="preserve"> </w:t>
      </w:r>
      <w:r>
        <w:rPr>
          <w:rFonts w:hint="eastAsia" w:ascii="宋体" w:hAnsi="宋体" w:cs="宋体"/>
          <w:b/>
          <w:bCs/>
          <w:color w:val="auto"/>
          <w:sz w:val="28"/>
          <w:szCs w:val="28"/>
          <w:lang w:val="en-US" w:eastAsia="zh-CN"/>
        </w:rPr>
        <w:t>（四）</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项目</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w:t>
      </w:r>
      <w:r>
        <w:rPr>
          <w:rFonts w:hint="eastAsia" w:ascii="宋体" w:hAnsi="宋体"/>
          <w:color w:val="auto"/>
          <w:lang w:val="en-US" w:eastAsia="zh-CN"/>
        </w:rPr>
        <w:t>评估报告</w:t>
      </w:r>
      <w:r>
        <w:rPr>
          <w:rFonts w:hint="eastAsia" w:ascii="宋体" w:hAnsi="宋体"/>
          <w:color w:val="auto"/>
        </w:rPr>
        <w:t>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w:t>
      </w:r>
      <w:r>
        <w:rPr>
          <w:rFonts w:hint="eastAsia" w:ascii="宋体" w:hAnsi="宋体" w:cstheme="minorBidi"/>
          <w:color w:val="auto"/>
          <w:kern w:val="2"/>
          <w:sz w:val="21"/>
          <w:szCs w:val="22"/>
          <w:lang w:val="en-US" w:eastAsia="zh-CN" w:bidi="ar-SA"/>
        </w:rPr>
        <w:t>评估报告</w:t>
      </w:r>
      <w:r>
        <w:rPr>
          <w:rFonts w:hint="eastAsia" w:ascii="宋体" w:hAnsi="宋体" w:eastAsiaTheme="minorEastAsia" w:cstheme="minorBidi"/>
          <w:color w:val="auto"/>
          <w:kern w:val="2"/>
          <w:sz w:val="21"/>
          <w:szCs w:val="22"/>
          <w:lang w:val="en-US" w:eastAsia="zh-CN" w:bidi="ar-SA"/>
        </w:rPr>
        <w:t>，确保项目顺利推进。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p>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2316C6D9">
      <w:pPr>
        <w:spacing w:line="360" w:lineRule="exact"/>
        <w:rPr>
          <w:rFonts w:hint="eastAsia" w:ascii="黑体" w:hAnsi="黑体" w:eastAsia="黑体" w:cs="宋体"/>
          <w:b/>
          <w:kern w:val="0"/>
          <w:sz w:val="28"/>
          <w:szCs w:val="28"/>
        </w:rPr>
      </w:pP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9D3C">
    <w:pPr>
      <w:pStyle w:val="9"/>
      <w:framePr w:wrap="around" w:vAnchor="text" w:hAnchor="margin" w:xAlign="center" w:y="1"/>
      <w:rPr>
        <w:rStyle w:val="20"/>
      </w:rPr>
    </w:pPr>
    <w:r>
      <w:fldChar w:fldCharType="begin"/>
    </w:r>
    <w:r>
      <w:rPr>
        <w:rStyle w:val="20"/>
      </w:rPr>
      <w:instrText xml:space="preserve">PAGE  </w:instrText>
    </w:r>
    <w:r>
      <w:fldChar w:fldCharType="end"/>
    </w:r>
  </w:p>
  <w:p w14:paraId="02870EC9">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B5F01"/>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8C61C4A"/>
    <w:rsid w:val="094A00EB"/>
    <w:rsid w:val="094D7C7A"/>
    <w:rsid w:val="097507C7"/>
    <w:rsid w:val="097D22E2"/>
    <w:rsid w:val="09AD2157"/>
    <w:rsid w:val="0A3C4D43"/>
    <w:rsid w:val="0B6C6FDB"/>
    <w:rsid w:val="0BB27EF8"/>
    <w:rsid w:val="0C2D337D"/>
    <w:rsid w:val="0C5F0F6E"/>
    <w:rsid w:val="0D004BE0"/>
    <w:rsid w:val="0D6635DC"/>
    <w:rsid w:val="0EC51CF1"/>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EC03E0B"/>
    <w:rsid w:val="2EE64169"/>
    <w:rsid w:val="300E355A"/>
    <w:rsid w:val="30337F16"/>
    <w:rsid w:val="30464A25"/>
    <w:rsid w:val="3082583C"/>
    <w:rsid w:val="31A45B7D"/>
    <w:rsid w:val="31A5035D"/>
    <w:rsid w:val="33980AB1"/>
    <w:rsid w:val="344A7D4E"/>
    <w:rsid w:val="347D19AD"/>
    <w:rsid w:val="348563B9"/>
    <w:rsid w:val="34C32719"/>
    <w:rsid w:val="34DF4182"/>
    <w:rsid w:val="34E44129"/>
    <w:rsid w:val="34E65643"/>
    <w:rsid w:val="3539753D"/>
    <w:rsid w:val="35771A99"/>
    <w:rsid w:val="361436EF"/>
    <w:rsid w:val="363D49D0"/>
    <w:rsid w:val="36481456"/>
    <w:rsid w:val="371A057C"/>
    <w:rsid w:val="37296A11"/>
    <w:rsid w:val="388861A3"/>
    <w:rsid w:val="38DC340E"/>
    <w:rsid w:val="3A801D52"/>
    <w:rsid w:val="3A887EF3"/>
    <w:rsid w:val="3ABF1B60"/>
    <w:rsid w:val="3B10121D"/>
    <w:rsid w:val="3BA23F27"/>
    <w:rsid w:val="3BB75F0B"/>
    <w:rsid w:val="3BF62074"/>
    <w:rsid w:val="3D2C1A00"/>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5B713D5"/>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803301"/>
    <w:rsid w:val="53EE72C6"/>
    <w:rsid w:val="54887ACF"/>
    <w:rsid w:val="548B2661"/>
    <w:rsid w:val="54AA722A"/>
    <w:rsid w:val="559A23C6"/>
    <w:rsid w:val="55BE4F5F"/>
    <w:rsid w:val="55E22755"/>
    <w:rsid w:val="56553E52"/>
    <w:rsid w:val="57193C9E"/>
    <w:rsid w:val="57541431"/>
    <w:rsid w:val="576C2775"/>
    <w:rsid w:val="586048F0"/>
    <w:rsid w:val="588549CE"/>
    <w:rsid w:val="58AE7DA1"/>
    <w:rsid w:val="58DD7D9A"/>
    <w:rsid w:val="59AD4E28"/>
    <w:rsid w:val="5B1D65E8"/>
    <w:rsid w:val="5C8C341B"/>
    <w:rsid w:val="5D152C97"/>
    <w:rsid w:val="5D2F2B1E"/>
    <w:rsid w:val="5DEF5A0F"/>
    <w:rsid w:val="5DF72B16"/>
    <w:rsid w:val="5E3D6E80"/>
    <w:rsid w:val="5EB75F23"/>
    <w:rsid w:val="5ECA3D86"/>
    <w:rsid w:val="5F4D50E3"/>
    <w:rsid w:val="60303C60"/>
    <w:rsid w:val="60F71C0C"/>
    <w:rsid w:val="61E15FB7"/>
    <w:rsid w:val="61ED37A2"/>
    <w:rsid w:val="626B0ACC"/>
    <w:rsid w:val="626F728B"/>
    <w:rsid w:val="62A42563"/>
    <w:rsid w:val="63210307"/>
    <w:rsid w:val="633B16F7"/>
    <w:rsid w:val="63613BBD"/>
    <w:rsid w:val="64132ACB"/>
    <w:rsid w:val="644F1AB3"/>
    <w:rsid w:val="65CA7906"/>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337377"/>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1640</Words>
  <Characters>1787</Characters>
  <Lines>16</Lines>
  <Paragraphs>4</Paragraphs>
  <TotalTime>23</TotalTime>
  <ScaleCrop>false</ScaleCrop>
  <LinksUpToDate>false</LinksUpToDate>
  <CharactersWithSpaces>2629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2025-08-20T08:29:08Z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2052-12.1.0.21915</vt:lpwstr>
  </property>
  <property fmtid="{D5CDD505-2E9C-101B-9397-08002B2CF9AE}" pid="4" name="ICV">
    <vt:lpwstr>638278A91B6247A3A14F33886A0DB3EB_13</vt:lpwstr>
  </property>
</Properties>
</file>