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72B9">
      <w:pPr>
        <w:autoSpaceDE w:val="0"/>
        <w:autoSpaceDN w:val="0"/>
        <w:adjustRightInd w:val="0"/>
        <w:spacing w:before="100" w:after="100"/>
        <w:jc w:val="center"/>
        <w:rPr>
          <w:rFonts w:ascii="宋体" w:hAnsi="宋体" w:cs="宋体"/>
          <w:b/>
          <w:bCs/>
          <w:sz w:val="48"/>
          <w:szCs w:val="48"/>
        </w:rPr>
      </w:pPr>
      <w:bookmarkStart w:id="15" w:name="_GoBack"/>
      <w:bookmarkEnd w:id="15"/>
      <w:r>
        <w:rPr>
          <w:rFonts w:hint="eastAsia" w:ascii="宋体" w:hAnsi="宋体" w:cs="宋体"/>
          <w:b/>
          <w:bCs/>
          <w:sz w:val="48"/>
          <w:szCs w:val="48"/>
        </w:rPr>
        <w:t>什邡磷化工分公司</w:t>
      </w:r>
    </w:p>
    <w:p w14:paraId="3E5A19FE">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eastAsia="宋体" w:cs="宋体"/>
          <w:b/>
          <w:bCs/>
          <w:sz w:val="48"/>
          <w:szCs w:val="48"/>
        </w:rPr>
        <w:t>磷石膏库环境风险隐患排查整治方案及报告采购</w:t>
      </w:r>
    </w:p>
    <w:p w14:paraId="1FAE45D5">
      <w:pPr>
        <w:widowControl/>
        <w:rPr>
          <w:rFonts w:asciiTheme="minorEastAsia" w:hAnsiTheme="minorEastAsia"/>
          <w:b/>
          <w:kern w:val="0"/>
          <w:sz w:val="72"/>
          <w:szCs w:val="72"/>
        </w:rPr>
      </w:pPr>
    </w:p>
    <w:p w14:paraId="538E90AF">
      <w:pPr>
        <w:pStyle w:val="5"/>
        <w:ind w:firstLine="1446"/>
        <w:rPr>
          <w:rFonts w:asciiTheme="minorEastAsia" w:hAnsiTheme="minorEastAsia"/>
          <w:b/>
          <w:kern w:val="0"/>
          <w:sz w:val="72"/>
          <w:szCs w:val="72"/>
        </w:rPr>
      </w:pPr>
    </w:p>
    <w:p w14:paraId="33D068A5">
      <w:pPr>
        <w:pStyle w:val="11"/>
        <w:rPr>
          <w:rFonts w:asciiTheme="minorEastAsia" w:hAnsiTheme="minorEastAsia"/>
          <w:b/>
          <w:kern w:val="0"/>
          <w:sz w:val="72"/>
          <w:szCs w:val="72"/>
        </w:rPr>
      </w:pPr>
    </w:p>
    <w:p w14:paraId="44917994"/>
    <w:p w14:paraId="7C29320C">
      <w:pPr>
        <w:pStyle w:val="11"/>
      </w:pPr>
    </w:p>
    <w:p w14:paraId="789A982C">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4C7901ED">
      <w:pPr>
        <w:pStyle w:val="5"/>
        <w:ind w:firstLine="643"/>
        <w:jc w:val="center"/>
      </w:pPr>
      <w:r>
        <w:rPr>
          <w:rFonts w:hint="eastAsia" w:ascii="黑体" w:hAnsi="黑体" w:eastAsia="黑体" w:cs="宋体"/>
          <w:b/>
          <w:kern w:val="0"/>
          <w:sz w:val="32"/>
          <w:szCs w:val="32"/>
        </w:rPr>
        <w:t>编号：SFLHG-GKBX-2025-FW34</w:t>
      </w:r>
    </w:p>
    <w:p w14:paraId="28B86A66">
      <w:pPr>
        <w:autoSpaceDE w:val="0"/>
        <w:autoSpaceDN w:val="0"/>
        <w:adjustRightInd w:val="0"/>
        <w:spacing w:line="360" w:lineRule="auto"/>
        <w:jc w:val="center"/>
        <w:rPr>
          <w:rFonts w:asciiTheme="minorEastAsia" w:hAnsiTheme="minorEastAsia"/>
          <w:sz w:val="48"/>
          <w:szCs w:val="48"/>
          <w:lang w:val="zh-CN"/>
        </w:rPr>
      </w:pPr>
    </w:p>
    <w:p w14:paraId="21DDDD66">
      <w:pPr>
        <w:autoSpaceDE w:val="0"/>
        <w:autoSpaceDN w:val="0"/>
        <w:adjustRightInd w:val="0"/>
        <w:spacing w:line="360" w:lineRule="auto"/>
        <w:rPr>
          <w:rFonts w:cs="黑体" w:asciiTheme="minorEastAsia" w:hAnsiTheme="minorEastAsia"/>
          <w:lang w:val="zh-CN"/>
        </w:rPr>
      </w:pPr>
    </w:p>
    <w:p w14:paraId="43784FA0">
      <w:pPr>
        <w:jc w:val="center"/>
        <w:rPr>
          <w:rFonts w:cs="黑体" w:asciiTheme="minorEastAsia" w:hAnsiTheme="minorEastAsia"/>
          <w:lang w:val="zh-CN"/>
        </w:rPr>
      </w:pPr>
    </w:p>
    <w:p w14:paraId="205AB8C1">
      <w:pPr>
        <w:jc w:val="center"/>
        <w:rPr>
          <w:rFonts w:cs="黑体" w:asciiTheme="minorEastAsia" w:hAnsiTheme="minorEastAsia"/>
          <w:lang w:val="zh-CN"/>
        </w:rPr>
      </w:pPr>
    </w:p>
    <w:p w14:paraId="6D5AE92C">
      <w:pPr>
        <w:jc w:val="center"/>
        <w:rPr>
          <w:rFonts w:cs="黑体" w:asciiTheme="minorEastAsia" w:hAnsiTheme="minorEastAsia"/>
          <w:lang w:val="zh-CN"/>
        </w:rPr>
      </w:pPr>
    </w:p>
    <w:p w14:paraId="0AD65B3A">
      <w:pPr>
        <w:jc w:val="center"/>
        <w:rPr>
          <w:rFonts w:cs="黑体" w:asciiTheme="minorEastAsia" w:hAnsiTheme="minorEastAsia"/>
          <w:lang w:val="zh-CN"/>
        </w:rPr>
      </w:pPr>
    </w:p>
    <w:p w14:paraId="40735AE9">
      <w:pPr>
        <w:jc w:val="center"/>
        <w:rPr>
          <w:rFonts w:cs="黑体" w:asciiTheme="minorEastAsia" w:hAnsiTheme="minorEastAsia"/>
          <w:lang w:val="zh-CN"/>
        </w:rPr>
      </w:pPr>
    </w:p>
    <w:p w14:paraId="39575830">
      <w:pPr>
        <w:spacing w:line="600" w:lineRule="auto"/>
        <w:ind w:firstLine="2127" w:firstLineChars="709"/>
        <w:rPr>
          <w:rFonts w:asciiTheme="minorEastAsia" w:hAnsiTheme="minorEastAsia"/>
          <w:sz w:val="30"/>
          <w:szCs w:val="30"/>
        </w:rPr>
      </w:pPr>
    </w:p>
    <w:p w14:paraId="709DC411">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什邡磷化工分公司</w:t>
      </w:r>
    </w:p>
    <w:p w14:paraId="68FB60FA">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rPr>
        <w:t>2025</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8月13日</w:t>
      </w:r>
    </w:p>
    <w:p w14:paraId="2E01371C">
      <w:pPr>
        <w:jc w:val="center"/>
        <w:rPr>
          <w:rFonts w:ascii="黑体" w:hAnsi="黑体" w:eastAsia="黑体" w:cs="宋体"/>
          <w:b/>
          <w:kern w:val="0"/>
          <w:sz w:val="32"/>
          <w:szCs w:val="32"/>
        </w:rPr>
      </w:pPr>
      <w:r>
        <w:rPr>
          <w:rFonts w:hint="eastAsia" w:ascii="黑体" w:hAnsi="黑体" w:eastAsia="黑体" w:cs="宋体"/>
          <w:b/>
          <w:kern w:val="0"/>
          <w:sz w:val="32"/>
          <w:szCs w:val="32"/>
        </w:rPr>
        <w:t>什邡磷化工分公司</w:t>
      </w:r>
    </w:p>
    <w:p w14:paraId="3C2905FA">
      <w:pPr>
        <w:jc w:val="center"/>
        <w:rPr>
          <w:rFonts w:ascii="黑体" w:hAnsi="黑体" w:eastAsia="黑体" w:cs="宋体"/>
          <w:b/>
          <w:kern w:val="0"/>
          <w:sz w:val="32"/>
          <w:szCs w:val="32"/>
        </w:rPr>
      </w:pPr>
      <w:r>
        <w:rPr>
          <w:rFonts w:hint="eastAsia" w:ascii="黑体" w:hAnsi="黑体" w:eastAsia="黑体" w:cs="宋体"/>
          <w:b/>
          <w:kern w:val="0"/>
          <w:sz w:val="32"/>
          <w:szCs w:val="32"/>
        </w:rPr>
        <w:t>磷石膏库环境风险隐患排查整治方案及报告采购比选文件</w:t>
      </w:r>
    </w:p>
    <w:p w14:paraId="4D403B75">
      <w:pPr>
        <w:pStyle w:val="5"/>
        <w:ind w:firstLine="643"/>
        <w:jc w:val="center"/>
      </w:pPr>
      <w:r>
        <w:rPr>
          <w:rFonts w:hint="eastAsia" w:ascii="黑体" w:hAnsi="黑体" w:eastAsia="黑体" w:cs="宋体"/>
          <w:b/>
          <w:kern w:val="0"/>
          <w:sz w:val="32"/>
          <w:szCs w:val="32"/>
        </w:rPr>
        <w:t>编号：SFLHG-GKBX-2025-FW34</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什邡磷化工分公司因生产需根据《德阳市生态环境局办公室关于开展磷石膏库环境风险隐患排查整治工作的通知》（德环办发[2025]72号）要求，磷化工分公司磷石膏库需要开展磷石膏库环境风险隐患排查整治方案及报告，本着“公开、公平、公正”的原则，现对该项目进行公开比选。欢迎贵公司前来报价，现将相关事项公告如下：</w:t>
      </w:r>
    </w:p>
    <w:p w14:paraId="3C4DF528">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标的物：编制《磷石膏库环境风险自查评估报告》、《磷石膏库“一库一策”整治方案》，标的物不拆分。</w:t>
      </w:r>
    </w:p>
    <w:p w14:paraId="3189E225">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二、比选人：什邡磷化工分公司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6AF89CE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1、参与投标的服务单位应当具备下列条件： </w:t>
      </w:r>
    </w:p>
    <w:p w14:paraId="65811F74">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（一）能够独立承担民事责任，至少具有生态建设和环境工程类工程咨询单位乙级资信证书； </w:t>
      </w:r>
    </w:p>
    <w:p w14:paraId="56576A84">
      <w:pPr>
        <w:spacing w:line="360" w:lineRule="exact"/>
        <w:rPr>
          <w:rFonts w:ascii="黑体" w:hAnsi="黑体" w:eastAsia="黑体" w:cs="宋体"/>
          <w:kern w:val="0"/>
          <w:sz w:val="28"/>
          <w:szCs w:val="28"/>
        </w:rPr>
      </w:pPr>
      <w:r>
        <w:rPr>
          <w:rFonts w:hint="eastAsia" w:ascii="黑体" w:hAnsi="黑体" w:eastAsia="黑体" w:cs="宋体"/>
          <w:kern w:val="0"/>
          <w:sz w:val="28"/>
          <w:szCs w:val="28"/>
        </w:rPr>
        <w:t>（二）内容：根据《德阳市生态环境局办公室关于开展磷石膏库环境风险隐患排查整治工作的通知》（德环办发[2025]72号）要求，磷化工分公司磷石膏库需要开展以下工作:</w:t>
      </w:r>
    </w:p>
    <w:p w14:paraId="55EAE2A7">
      <w:pPr>
        <w:spacing w:line="360" w:lineRule="exact"/>
        <w:rPr>
          <w:rFonts w:ascii="黑体" w:hAnsi="黑体" w:eastAsia="黑体" w:cs="宋体"/>
          <w:kern w:val="0"/>
          <w:sz w:val="28"/>
          <w:szCs w:val="28"/>
        </w:rPr>
      </w:pPr>
      <w:r>
        <w:rPr>
          <w:rFonts w:hint="eastAsia" w:ascii="黑体" w:hAnsi="黑体" w:eastAsia="黑体" w:cs="宋体"/>
          <w:kern w:val="0"/>
          <w:sz w:val="28"/>
          <w:szCs w:val="28"/>
        </w:rPr>
        <w:t>1、开展环境风险隐患排查整治，根据排查情况划分环境风险等级，编制风险自查评估报告，2025年9月20日前，报德阳市生态环境局复核，并通过复核。</w:t>
      </w:r>
    </w:p>
    <w:p w14:paraId="6F3FD4EF">
      <w:pPr>
        <w:spacing w:line="360" w:lineRule="exact"/>
        <w:rPr>
          <w:rFonts w:ascii="黑体" w:hAnsi="黑体" w:eastAsia="黑体" w:cs="宋体"/>
          <w:kern w:val="0"/>
          <w:sz w:val="28"/>
          <w:szCs w:val="28"/>
        </w:rPr>
      </w:pPr>
      <w:r>
        <w:rPr>
          <w:rFonts w:hint="eastAsia" w:ascii="黑体" w:hAnsi="黑体" w:eastAsia="黑体" w:cs="宋体"/>
          <w:kern w:val="0"/>
          <w:sz w:val="28"/>
          <w:szCs w:val="28"/>
        </w:rPr>
        <w:t>2、结合磷石膏库环境风险等级，编制磷石膏库“一库一策”整治方案，2025年10月30日前，报德阳市生态环境局和省生态环境厅审核，并通过审核。</w:t>
      </w:r>
    </w:p>
    <w:p w14:paraId="00932954">
      <w:pPr>
        <w:spacing w:line="360" w:lineRule="exact"/>
        <w:rPr>
          <w:rFonts w:ascii="黑体" w:hAnsi="黑体" w:eastAsia="黑体" w:cs="宋体"/>
          <w:kern w:val="0"/>
          <w:sz w:val="28"/>
          <w:szCs w:val="28"/>
        </w:rPr>
      </w:pPr>
      <w:r>
        <w:rPr>
          <w:rFonts w:hint="eastAsia" w:ascii="黑体" w:hAnsi="黑体" w:eastAsia="黑体" w:cs="黑体"/>
          <w:sz w:val="28"/>
          <w:szCs w:val="28"/>
        </w:rPr>
        <w:t>3.服务</w:t>
      </w:r>
      <w:r>
        <w:rPr>
          <w:rFonts w:hint="eastAsia" w:ascii="黑体" w:hAnsi="黑体" w:eastAsia="黑体" w:cs="宋体"/>
          <w:kern w:val="0"/>
          <w:sz w:val="28"/>
          <w:szCs w:val="28"/>
        </w:rPr>
        <w:t>地点：四川宏达股份有限公司什邡磷化工分公司（什邡市洛水镇）</w:t>
      </w:r>
    </w:p>
    <w:p w14:paraId="65D426B4">
      <w:pPr>
        <w:spacing w:line="360" w:lineRule="exact"/>
        <w:rPr>
          <w:rFonts w:ascii="黑体" w:hAnsi="黑体" w:eastAsia="黑体" w:cs="宋体"/>
          <w:kern w:val="0"/>
          <w:sz w:val="28"/>
          <w:szCs w:val="28"/>
        </w:rPr>
      </w:pPr>
      <w:r>
        <w:rPr>
          <w:rFonts w:hint="eastAsia" w:ascii="黑体" w:hAnsi="黑体" w:eastAsia="黑体" w:cs="宋体"/>
          <w:kern w:val="0"/>
          <w:sz w:val="28"/>
          <w:szCs w:val="28"/>
        </w:rPr>
        <w:t>4.服务期：《磷石膏库环境风险自查评估报告》2025年9月20日前、《磷石膏库“一库一策”整治方案》2025年10月30日前。</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四.付款方式及发票： </w:t>
      </w:r>
    </w:p>
    <w:p w14:paraId="506037F6">
      <w:pPr>
        <w:widowControl/>
        <w:shd w:val="clear" w:color="auto" w:fill="FFFFFF"/>
        <w:spacing w:line="400" w:lineRule="exact"/>
        <w:jc w:val="left"/>
        <w:rPr>
          <w:rFonts w:ascii="黑体" w:hAnsi="黑体" w:eastAsia="黑体"/>
          <w:bCs/>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黑体"/>
          <w:sz w:val="28"/>
          <w:szCs w:val="28"/>
        </w:rPr>
        <w:t>以银行电汇或银行电子承兑汇票支付。报告和方案通过专家评审会并通过生态环境部门审核后，一次性付清技术服务全部费用。</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w:t>
      </w:r>
    </w:p>
    <w:p w14:paraId="6F201807">
      <w:p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2AE6E591">
      <w:pPr>
        <w:spacing w:line="420" w:lineRule="exact"/>
        <w:outlineLvl w:val="0"/>
        <w:rPr>
          <w:rFonts w:ascii="黑体" w:hAnsi="黑体" w:eastAsia="黑体" w:cs="黑体"/>
          <w:sz w:val="28"/>
          <w:szCs w:val="28"/>
        </w:rPr>
      </w:pPr>
      <w:r>
        <w:rPr>
          <w:rFonts w:hint="eastAsia" w:ascii="黑体" w:hAnsi="黑体" w:eastAsia="黑体" w:cs="黑体"/>
          <w:sz w:val="28"/>
          <w:szCs w:val="28"/>
        </w:rPr>
        <w:t xml:space="preserve">获取方式为：自 2025年8月13日 12 时 00 分至 2025年 8月18日 14时 00 分通过四川宏达股份有限公司集采中心招投标平台(以下简称“ 宏达股份集采平台”）（http://jc.sichuanhongda.com/）进行注册并登录后参与投标并下载比选文件。 </w:t>
      </w:r>
    </w:p>
    <w:p w14:paraId="504767B0">
      <w:pPr>
        <w:spacing w:line="420" w:lineRule="exact"/>
        <w:rPr>
          <w:rFonts w:ascii="黑体" w:hAnsi="黑体" w:eastAsia="黑体" w:cs="仿宋_GB2312"/>
          <w:sz w:val="28"/>
          <w:szCs w:val="28"/>
        </w:rPr>
      </w:pPr>
      <w:r>
        <w:rPr>
          <w:rFonts w:hint="eastAsia" w:ascii="黑体" w:hAnsi="黑体" w:eastAsia="黑体" w:cs="仿宋_GB2312"/>
          <w:sz w:val="28"/>
          <w:szCs w:val="28"/>
        </w:rPr>
        <w:t>五、响应性文件的递交</w:t>
      </w:r>
    </w:p>
    <w:p w14:paraId="03D00619">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递交截止时间：2025年8月 18日 14 时 00 分。</w:t>
      </w:r>
    </w:p>
    <w:p w14:paraId="0E7C9B66">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单价（含税价）、合计金额、服务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0BDA6A4D">
      <w:pPr>
        <w:spacing w:line="420" w:lineRule="exact"/>
        <w:rPr>
          <w:rFonts w:ascii="黑体" w:hAnsi="黑体" w:eastAsia="黑体" w:cs="仿宋_GB2312"/>
          <w:sz w:val="28"/>
          <w:szCs w:val="28"/>
        </w:rPr>
      </w:pPr>
      <w:r>
        <w:rPr>
          <w:rFonts w:hint="eastAsia" w:ascii="黑体" w:hAnsi="黑体" w:eastAsia="黑体" w:cs="仿宋_GB2312"/>
          <w:sz w:val="28"/>
          <w:szCs w:val="28"/>
        </w:rPr>
        <w:t>六、响应性文件的要求</w:t>
      </w:r>
    </w:p>
    <w:p w14:paraId="539C008C">
      <w:pPr>
        <w:spacing w:line="420" w:lineRule="exact"/>
        <w:rPr>
          <w:rFonts w:ascii="黑体" w:hAnsi="黑体" w:eastAsia="黑体" w:cs="Segoe UI"/>
          <w:kern w:val="0"/>
          <w:sz w:val="28"/>
          <w:szCs w:val="28"/>
        </w:rPr>
      </w:pPr>
      <w:r>
        <w:rPr>
          <w:rFonts w:hint="eastAsia" w:ascii="黑体" w:hAnsi="黑体" w:eastAsia="黑体" w:cs="仿宋_GB2312"/>
          <w:sz w:val="28"/>
          <w:szCs w:val="28"/>
        </w:rPr>
        <w:t>比选申请人需提供</w:t>
      </w:r>
      <w:bookmarkStart w:id="0" w:name="OLE_LINK3"/>
      <w:bookmarkStart w:id="1" w:name="OLE_LINK4"/>
      <w:r>
        <w:rPr>
          <w:rFonts w:hint="eastAsia" w:ascii="黑体" w:hAnsi="黑体" w:eastAsia="黑体" w:cs="仿宋_GB2312"/>
          <w:sz w:val="28"/>
          <w:szCs w:val="28"/>
        </w:rPr>
        <w:t>营业执照</w:t>
      </w:r>
      <w:bookmarkEnd w:id="0"/>
      <w:bookmarkEnd w:id="1"/>
      <w:r>
        <w:rPr>
          <w:rFonts w:hint="eastAsia" w:ascii="黑体" w:hAnsi="黑体" w:eastAsia="黑体" w:cs="仿宋_GB2312"/>
          <w:sz w:val="28"/>
          <w:szCs w:val="28"/>
        </w:rPr>
        <w:t>及相关资质。</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rPr>
        <w:t>七.</w:t>
      </w:r>
      <w:r>
        <w:rPr>
          <w:rFonts w:hint="eastAsia" w:ascii="黑体" w:hAnsi="黑体" w:eastAsia="黑体" w:cs="Times New Roman"/>
          <w:sz w:val="28"/>
          <w:szCs w:val="28"/>
        </w:rPr>
        <w:t>比选时不保证最低价中选，但充分注意合理的最低报价。</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八.交送报价文件前，供应商方可自愿前来我公司进行实地考查、技术交流或咨询。</w:t>
      </w:r>
    </w:p>
    <w:p w14:paraId="440F1485">
      <w:pPr>
        <w:spacing w:line="420" w:lineRule="exact"/>
        <w:rPr>
          <w:rFonts w:ascii="黑体" w:hAnsi="黑体" w:eastAsia="黑体" w:cs="宋体"/>
          <w:b/>
          <w:bCs/>
          <w:kern w:val="0"/>
          <w:sz w:val="28"/>
          <w:szCs w:val="28"/>
        </w:rPr>
      </w:pPr>
      <w:r>
        <w:rPr>
          <w:rFonts w:hint="eastAsia" w:ascii="黑体" w:hAnsi="黑体" w:eastAsia="黑体" w:cs="宋体"/>
          <w:kern w:val="0"/>
          <w:sz w:val="28"/>
          <w:szCs w:val="28"/>
        </w:rPr>
        <w:t>联系人：程康15282839809  技术：廖大勇13795913348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什邡磷化工分公司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2025年8月13日</w:t>
      </w:r>
    </w:p>
    <w:p w14:paraId="104BB685">
      <w:pPr>
        <w:spacing w:line="420" w:lineRule="exact"/>
        <w:rPr>
          <w:rFonts w:ascii="黑体" w:hAnsi="黑体" w:eastAsia="黑体" w:cs="宋体"/>
          <w:b/>
          <w:kern w:val="0"/>
          <w:sz w:val="28"/>
          <w:szCs w:val="28"/>
        </w:rPr>
      </w:pPr>
    </w:p>
    <w:p w14:paraId="0A9B5430">
      <w:pPr>
        <w:spacing w:line="360" w:lineRule="exact"/>
        <w:rPr>
          <w:rFonts w:ascii="黑体" w:hAnsi="黑体" w:eastAsia="黑体" w:cs="宋体"/>
          <w:b/>
          <w:kern w:val="0"/>
          <w:sz w:val="28"/>
          <w:szCs w:val="28"/>
        </w:rPr>
      </w:pPr>
    </w:p>
    <w:p w14:paraId="12331C79">
      <w:pPr>
        <w:pStyle w:val="49"/>
      </w:pPr>
    </w:p>
    <w:p w14:paraId="77262E01">
      <w:pPr>
        <w:spacing w:line="360" w:lineRule="exact"/>
        <w:rPr>
          <w:rFonts w:ascii="黑体" w:hAnsi="黑体" w:eastAsia="黑体" w:cs="宋体"/>
          <w:b/>
          <w:kern w:val="0"/>
          <w:sz w:val="28"/>
          <w:szCs w:val="28"/>
        </w:rPr>
      </w:pPr>
    </w:p>
    <w:p w14:paraId="4E4B15C3">
      <w:pPr>
        <w:spacing w:line="360" w:lineRule="exact"/>
        <w:rPr>
          <w:rFonts w:ascii="黑体" w:hAnsi="黑体" w:eastAsia="黑体" w:cs="宋体"/>
          <w:b/>
          <w:kern w:val="0"/>
          <w:sz w:val="28"/>
          <w:szCs w:val="28"/>
        </w:rPr>
      </w:pPr>
    </w:p>
    <w:p w14:paraId="37EDF4DE">
      <w:pPr>
        <w:spacing w:line="360" w:lineRule="exact"/>
        <w:rPr>
          <w:rFonts w:ascii="黑体" w:hAnsi="黑体" w:eastAsia="黑体" w:cs="宋体"/>
          <w:b/>
          <w:kern w:val="0"/>
          <w:sz w:val="28"/>
          <w:szCs w:val="28"/>
        </w:rPr>
      </w:pPr>
    </w:p>
    <w:p w14:paraId="43C42125">
      <w:pPr>
        <w:spacing w:line="360" w:lineRule="exact"/>
        <w:rPr>
          <w:rFonts w:ascii="黑体" w:hAnsi="黑体" w:eastAsia="黑体" w:cs="宋体"/>
          <w:b/>
          <w:kern w:val="0"/>
          <w:sz w:val="28"/>
          <w:szCs w:val="28"/>
        </w:rPr>
      </w:pPr>
    </w:p>
    <w:p w14:paraId="64827940">
      <w:pPr>
        <w:spacing w:line="360" w:lineRule="exact"/>
        <w:rPr>
          <w:rFonts w:ascii="黑体" w:hAnsi="黑体" w:eastAsia="黑体" w:cs="宋体"/>
          <w:b/>
          <w:kern w:val="0"/>
          <w:sz w:val="28"/>
          <w:szCs w:val="28"/>
        </w:rPr>
      </w:pPr>
    </w:p>
    <w:p w14:paraId="5EE89FF4">
      <w:pPr>
        <w:rPr>
          <w:rFonts w:ascii="宋体" w:hAnsi="宋体" w:cs="仿宋"/>
          <w:szCs w:val="21"/>
        </w:rPr>
      </w:pPr>
      <w:bookmarkStart w:id="2" w:name="_Toc274596702"/>
      <w:bookmarkStart w:id="3" w:name="_Toc268793030"/>
      <w:bookmarkStart w:id="4" w:name="_Toc303149804"/>
      <w:bookmarkStart w:id="5" w:name="_Toc238552273"/>
      <w:bookmarkStart w:id="6" w:name="_Toc275019684"/>
      <w:bookmarkStart w:id="7" w:name="_Toc275019290"/>
      <w:bookmarkStart w:id="8" w:name="_Toc275019836"/>
      <w:bookmarkStart w:id="9" w:name="_Toc238797630"/>
      <w:bookmarkStart w:id="10" w:name="_Toc269113527"/>
      <w:bookmarkStart w:id="11" w:name="_Toc318986166"/>
      <w:bookmarkStart w:id="12" w:name="_Toc275014947"/>
      <w:bookmarkStart w:id="13" w:name="_Toc274236999"/>
      <w:bookmarkStart w:id="14" w:name="_Toc16684"/>
      <w:r>
        <w:rPr>
          <w:rFonts w:hint="eastAsia" w:ascii="宋体" w:hAnsi="宋体"/>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kern w:val="0"/>
          <w:szCs w:val="21"/>
        </w:rPr>
        <w:t xml:space="preserve"> </w:t>
      </w:r>
    </w:p>
    <w:p w14:paraId="16DFE2E5">
      <w:pPr>
        <w:ind w:firstLine="640" w:firstLineChars="200"/>
        <w:jc w:val="center"/>
        <w:rPr>
          <w:rFonts w:ascii="黑体" w:hAnsi="宋体" w:eastAsia="黑体"/>
          <w:sz w:val="32"/>
          <w:szCs w:val="32"/>
        </w:rPr>
      </w:pPr>
      <w:r>
        <w:rPr>
          <w:rFonts w:hint="eastAsia" w:ascii="黑体" w:hAnsi="宋体" w:eastAsia="黑体"/>
          <w:sz w:val="32"/>
          <w:szCs w:val="32"/>
        </w:rPr>
        <w:t>第三章</w:t>
      </w:r>
    </w:p>
    <w:p w14:paraId="711C438E">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6EBD788B">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0B65B883">
      <w:pPr>
        <w:ind w:firstLine="640" w:firstLineChars="200"/>
        <w:jc w:val="center"/>
        <w:rPr>
          <w:rFonts w:ascii="黑体" w:hAnsi="宋体" w:eastAsia="黑体"/>
          <w:sz w:val="32"/>
          <w:szCs w:val="32"/>
          <w:lang w:val="zh-CN"/>
        </w:rPr>
      </w:pPr>
      <w:r>
        <w:rPr>
          <w:rFonts w:hint="eastAsia" w:ascii="黑体" w:hAnsi="宋体" w:eastAsia="黑体"/>
          <w:sz w:val="32"/>
          <w:szCs w:val="32"/>
        </w:rPr>
        <w:t>磷石膏库环境风险隐患排查整治方案及报告采购</w:t>
      </w:r>
    </w:p>
    <w:p w14:paraId="145F201D">
      <w:pPr>
        <w:ind w:firstLine="1680" w:firstLineChars="200"/>
        <w:jc w:val="center"/>
        <w:rPr>
          <w:rFonts w:ascii="黑体" w:eastAsia="黑体"/>
          <w:sz w:val="84"/>
          <w:szCs w:val="84"/>
        </w:rPr>
      </w:pPr>
    </w:p>
    <w:p w14:paraId="65B7478D">
      <w:pPr>
        <w:ind w:firstLine="1680" w:firstLineChars="200"/>
        <w:jc w:val="center"/>
        <w:rPr>
          <w:rFonts w:ascii="黑体" w:eastAsia="黑体"/>
          <w:sz w:val="84"/>
          <w:szCs w:val="84"/>
        </w:rPr>
      </w:pPr>
    </w:p>
    <w:p w14:paraId="20F6E255">
      <w:pPr>
        <w:jc w:val="center"/>
        <w:rPr>
          <w:rFonts w:ascii="楷体_GB2312" w:eastAsia="楷体_GB2312"/>
          <w:sz w:val="72"/>
          <w:szCs w:val="72"/>
        </w:rPr>
      </w:pPr>
      <w:r>
        <w:rPr>
          <w:rFonts w:hint="eastAsia" w:ascii="楷体_GB2312" w:eastAsia="楷体_GB2312"/>
          <w:sz w:val="72"/>
          <w:szCs w:val="72"/>
        </w:rPr>
        <w:t>响应性文件</w:t>
      </w:r>
    </w:p>
    <w:p w14:paraId="63281EB3">
      <w:pPr>
        <w:ind w:firstLine="720" w:firstLineChars="200"/>
        <w:jc w:val="center"/>
        <w:rPr>
          <w:rFonts w:ascii="黑体" w:hAnsi="宋体" w:eastAsia="黑体"/>
          <w:sz w:val="36"/>
          <w:szCs w:val="36"/>
        </w:rPr>
      </w:pPr>
    </w:p>
    <w:p w14:paraId="53C30D38">
      <w:pPr>
        <w:ind w:firstLine="720" w:firstLineChars="200"/>
        <w:rPr>
          <w:rFonts w:ascii="黑体" w:hAnsi="宋体" w:eastAsia="黑体"/>
          <w:sz w:val="36"/>
          <w:szCs w:val="36"/>
        </w:rPr>
      </w:pPr>
    </w:p>
    <w:p w14:paraId="6EE9AD25">
      <w:pPr>
        <w:ind w:firstLine="720" w:firstLineChars="200"/>
        <w:rPr>
          <w:rFonts w:ascii="黑体" w:hAnsi="宋体" w:eastAsia="黑体"/>
          <w:sz w:val="36"/>
          <w:szCs w:val="36"/>
        </w:rPr>
      </w:pPr>
    </w:p>
    <w:p w14:paraId="1BA4ADEE">
      <w:pPr>
        <w:ind w:firstLine="720" w:firstLineChars="200"/>
        <w:rPr>
          <w:rFonts w:ascii="楷体_GB2312" w:hAnsi="宋体" w:eastAsia="楷体_GB2312"/>
          <w:sz w:val="36"/>
          <w:szCs w:val="36"/>
        </w:rPr>
      </w:pPr>
    </w:p>
    <w:p w14:paraId="1B578B9A">
      <w:pPr>
        <w:ind w:firstLine="720" w:firstLineChars="200"/>
        <w:rPr>
          <w:rFonts w:ascii="楷体_GB2312" w:hAnsi="宋体" w:eastAsia="楷体_GB2312"/>
          <w:sz w:val="36"/>
          <w:szCs w:val="36"/>
        </w:rPr>
      </w:pPr>
    </w:p>
    <w:p w14:paraId="2C8BC3D3">
      <w:pPr>
        <w:ind w:firstLine="720" w:firstLineChars="200"/>
        <w:rPr>
          <w:rFonts w:ascii="楷体_GB2312" w:hAnsi="宋体" w:eastAsia="楷体_GB2312"/>
          <w:sz w:val="36"/>
          <w:szCs w:val="36"/>
        </w:rPr>
      </w:pPr>
    </w:p>
    <w:p w14:paraId="513F1F8D">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4C40C091">
      <w:pPr>
        <w:ind w:firstLine="720" w:firstLineChars="200"/>
        <w:rPr>
          <w:rFonts w:ascii="楷体_GB2312" w:hAnsi="宋体" w:eastAsia="楷体_GB2312"/>
          <w:sz w:val="36"/>
          <w:szCs w:val="36"/>
        </w:rPr>
      </w:pPr>
    </w:p>
    <w:p w14:paraId="0091A756">
      <w:pPr>
        <w:ind w:firstLine="1285" w:firstLineChars="400"/>
        <w:rPr>
          <w:rFonts w:ascii="新宋体" w:hAnsi="新宋体" w:eastAsia="楷体_GB2312" w:cs="新宋体"/>
          <w:b/>
          <w:sz w:val="32"/>
          <w:u w:val="single"/>
        </w:rPr>
      </w:pPr>
    </w:p>
    <w:p w14:paraId="25B4D473">
      <w:pPr>
        <w:ind w:firstLine="720" w:firstLineChars="200"/>
        <w:rPr>
          <w:rFonts w:ascii="楷体_GB2312" w:hAnsi="宋体" w:eastAsia="楷体_GB2312"/>
          <w:sz w:val="36"/>
          <w:szCs w:val="36"/>
        </w:rPr>
      </w:pPr>
    </w:p>
    <w:p w14:paraId="0F7017DE">
      <w:pPr>
        <w:ind w:firstLine="562" w:firstLineChars="200"/>
        <w:jc w:val="left"/>
        <w:rPr>
          <w:rFonts w:ascii="宋体" w:hAnsi="宋体" w:cs="宋体"/>
          <w:b/>
          <w:bCs/>
          <w:sz w:val="28"/>
          <w:szCs w:val="28"/>
        </w:rPr>
      </w:pPr>
      <w:r>
        <w:rPr>
          <w:rFonts w:hint="eastAsia" w:ascii="宋体" w:hAnsi="宋体" w:cs="宋体"/>
          <w:b/>
          <w:bCs/>
          <w:sz w:val="28"/>
          <w:szCs w:val="28"/>
        </w:rPr>
        <w:br w:type="page"/>
      </w:r>
    </w:p>
    <w:p w14:paraId="078365C6">
      <w:pPr>
        <w:ind w:firstLine="562" w:firstLineChars="200"/>
        <w:jc w:val="left"/>
        <w:rPr>
          <w:rFonts w:ascii="宋体" w:hAnsi="宋体" w:cs="宋体"/>
          <w:b/>
          <w:bCs/>
          <w:sz w:val="28"/>
          <w:szCs w:val="28"/>
        </w:rPr>
      </w:pPr>
      <w:r>
        <w:rPr>
          <w:rFonts w:hint="eastAsia" w:ascii="宋体" w:hAnsi="宋体" w:cs="宋体"/>
          <w:b/>
          <w:bCs/>
          <w:sz w:val="28"/>
          <w:szCs w:val="28"/>
        </w:rPr>
        <w:t>二、营业执照及资质文件</w:t>
      </w:r>
    </w:p>
    <w:p w14:paraId="178998BF">
      <w:pPr>
        <w:widowControl/>
        <w:spacing w:line="360" w:lineRule="auto"/>
        <w:ind w:firstLine="480" w:firstLineChars="200"/>
        <w:rPr>
          <w:rFonts w:ascii="宋体" w:hAnsi="宋体" w:cs="宋体"/>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sz w:val="24"/>
        </w:rPr>
        <w:t>1、</w:t>
      </w:r>
    </w:p>
    <w:p w14:paraId="7C6ABE72">
      <w:pPr>
        <w:rPr>
          <w:rFonts w:ascii="宋体" w:hAnsi="宋体" w:eastAsia="宋体"/>
          <w:b/>
        </w:rPr>
      </w:pPr>
    </w:p>
    <w:p w14:paraId="79E6E945">
      <w:pPr>
        <w:pStyle w:val="50"/>
        <w:numPr>
          <w:ilvl w:val="0"/>
          <w:numId w:val="1"/>
        </w:numPr>
        <w:spacing w:line="360" w:lineRule="auto"/>
        <w:jc w:val="center"/>
        <w:rPr>
          <w:rFonts w:ascii="宋体" w:hAnsi="宋体" w:eastAsia="宋体"/>
          <w:b/>
        </w:rPr>
      </w:pPr>
      <w:r>
        <w:rPr>
          <w:rFonts w:hint="eastAsia" w:ascii="宋体" w:hAnsi="宋体" w:eastAsia="宋体"/>
          <w:b/>
        </w:rPr>
        <w:t>报价表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3994"/>
        <w:gridCol w:w="1944"/>
        <w:gridCol w:w="1795"/>
        <w:gridCol w:w="2610"/>
      </w:tblGrid>
      <w:tr w14:paraId="21A1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62" w:type="dxa"/>
            <w:shd w:val="clear" w:color="auto" w:fill="auto"/>
            <w:vAlign w:val="center"/>
          </w:tcPr>
          <w:p w14:paraId="0861AA60">
            <w:pPr>
              <w:jc w:val="center"/>
              <w:rPr>
                <w:rFonts w:ascii="黑体" w:hAnsi="黑体" w:eastAsia="黑体"/>
                <w:b/>
                <w:bCs/>
                <w:sz w:val="28"/>
                <w:szCs w:val="28"/>
              </w:rPr>
            </w:pPr>
            <w:r>
              <w:rPr>
                <w:rFonts w:hint="eastAsia" w:ascii="黑体" w:hAnsi="黑体" w:eastAsia="黑体"/>
                <w:b/>
                <w:bCs/>
                <w:sz w:val="28"/>
                <w:szCs w:val="28"/>
              </w:rPr>
              <w:t>项目名称</w:t>
            </w:r>
          </w:p>
        </w:tc>
        <w:tc>
          <w:tcPr>
            <w:tcW w:w="3994" w:type="dxa"/>
            <w:shd w:val="clear" w:color="auto" w:fill="auto"/>
            <w:vAlign w:val="center"/>
          </w:tcPr>
          <w:p w14:paraId="632301B8">
            <w:pPr>
              <w:jc w:val="center"/>
              <w:rPr>
                <w:rFonts w:ascii="黑体" w:hAnsi="黑体" w:eastAsia="黑体" w:cs="黑体"/>
                <w:b/>
                <w:bCs/>
                <w:sz w:val="28"/>
                <w:szCs w:val="28"/>
              </w:rPr>
            </w:pPr>
            <w:r>
              <w:rPr>
                <w:rFonts w:hint="eastAsia" w:ascii="黑体" w:hAnsi="黑体" w:eastAsia="黑体" w:cs="黑体"/>
                <w:b/>
                <w:bCs/>
                <w:sz w:val="28"/>
                <w:szCs w:val="28"/>
              </w:rPr>
              <w:t>内容</w:t>
            </w:r>
          </w:p>
        </w:tc>
        <w:tc>
          <w:tcPr>
            <w:tcW w:w="1944" w:type="dxa"/>
            <w:shd w:val="clear" w:color="auto" w:fill="auto"/>
            <w:vAlign w:val="center"/>
          </w:tcPr>
          <w:p w14:paraId="67B0B6EB">
            <w:pPr>
              <w:pStyle w:val="52"/>
              <w:spacing w:line="400" w:lineRule="exact"/>
              <w:rPr>
                <w:rFonts w:ascii="黑体" w:hAnsi="黑体" w:eastAsia="黑体"/>
                <w:sz w:val="28"/>
                <w:szCs w:val="28"/>
              </w:rPr>
            </w:pPr>
            <w:r>
              <w:rPr>
                <w:rFonts w:hint="eastAsia" w:ascii="黑体" w:hAnsi="黑体" w:eastAsia="黑体"/>
                <w:sz w:val="28"/>
                <w:szCs w:val="28"/>
              </w:rPr>
              <w:t>总金额</w:t>
            </w:r>
          </w:p>
        </w:tc>
        <w:tc>
          <w:tcPr>
            <w:tcW w:w="1795" w:type="dxa"/>
            <w:shd w:val="clear" w:color="auto" w:fill="auto"/>
            <w:vAlign w:val="center"/>
          </w:tcPr>
          <w:p w14:paraId="0539FA39">
            <w:pPr>
              <w:pStyle w:val="52"/>
              <w:spacing w:line="400" w:lineRule="exact"/>
              <w:rPr>
                <w:rFonts w:ascii="黑体" w:hAnsi="黑体" w:eastAsia="黑体"/>
                <w:sz w:val="28"/>
                <w:szCs w:val="28"/>
              </w:rPr>
            </w:pPr>
            <w:r>
              <w:rPr>
                <w:rFonts w:hint="eastAsia" w:ascii="黑体" w:hAnsi="黑体" w:eastAsia="黑体"/>
                <w:sz w:val="28"/>
                <w:szCs w:val="28"/>
              </w:rPr>
              <w:t>税率</w:t>
            </w:r>
          </w:p>
        </w:tc>
        <w:tc>
          <w:tcPr>
            <w:tcW w:w="2610" w:type="dxa"/>
            <w:vAlign w:val="center"/>
          </w:tcPr>
          <w:p w14:paraId="191543B5">
            <w:pPr>
              <w:pStyle w:val="52"/>
              <w:spacing w:line="400" w:lineRule="exact"/>
              <w:rPr>
                <w:rFonts w:ascii="黑体" w:hAnsi="黑体" w:eastAsia="黑体"/>
                <w:sz w:val="28"/>
                <w:szCs w:val="28"/>
              </w:rPr>
            </w:pPr>
            <w:r>
              <w:rPr>
                <w:rFonts w:hint="eastAsia" w:ascii="黑体" w:hAnsi="黑体" w:eastAsia="黑体"/>
                <w:sz w:val="28"/>
                <w:szCs w:val="28"/>
              </w:rPr>
              <w:t>备注</w:t>
            </w:r>
          </w:p>
        </w:tc>
      </w:tr>
      <w:tr w14:paraId="49E3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2362" w:type="dxa"/>
            <w:vAlign w:val="center"/>
          </w:tcPr>
          <w:p w14:paraId="3BF9C080">
            <w:pPr>
              <w:pStyle w:val="50"/>
              <w:spacing w:line="360" w:lineRule="auto"/>
              <w:jc w:val="center"/>
              <w:rPr>
                <w:rFonts w:ascii="宋体" w:hAnsi="宋体" w:eastAsia="宋体"/>
                <w:b/>
                <w:szCs w:val="24"/>
              </w:rPr>
            </w:pPr>
            <w:r>
              <w:rPr>
                <w:rFonts w:hint="eastAsia" w:ascii="黑体" w:hAnsi="宋体"/>
                <w:szCs w:val="24"/>
              </w:rPr>
              <w:t>磷石膏库环境风险自查评估报告</w:t>
            </w:r>
          </w:p>
        </w:tc>
        <w:tc>
          <w:tcPr>
            <w:tcW w:w="3994" w:type="dxa"/>
            <w:vMerge w:val="restart"/>
          </w:tcPr>
          <w:p w14:paraId="27271680">
            <w:r>
              <w:rPr>
                <w:rFonts w:hint="eastAsia"/>
              </w:rPr>
              <w:t>根据《德阳市生态环境局办公室关于开展磷石膏库环境风险隐患排查整治工作的通知》（德环办发[2025]72号）要求，磷化工分公司磷石膏库需要开展以下工作:</w:t>
            </w:r>
          </w:p>
          <w:p w14:paraId="6E994EC5">
            <w:pPr>
              <w:jc w:val="center"/>
            </w:pPr>
            <w:r>
              <w:rPr>
                <w:rFonts w:hint="eastAsia"/>
              </w:rPr>
              <w:t>1、开展环境风险隐患排查整治，根据排查情况划分环境风险等级，编制风险自查评估报告，2025年9月20日前，报德阳市生态环境局复核，并通过复核。</w:t>
            </w:r>
          </w:p>
          <w:p w14:paraId="44181D42">
            <w:pPr>
              <w:jc w:val="center"/>
            </w:pPr>
            <w:r>
              <w:rPr>
                <w:rFonts w:hint="eastAsia"/>
              </w:rPr>
              <w:t>2、结合磷石膏库环境风险等级，编制磷石膏库“一库一策”整治方案，2025年10月30日前，报德阳市生态环境局和省生态环境厅审核，并通过审核。</w:t>
            </w:r>
          </w:p>
          <w:p w14:paraId="2F2869BA">
            <w:pPr>
              <w:jc w:val="center"/>
            </w:pPr>
          </w:p>
        </w:tc>
        <w:tc>
          <w:tcPr>
            <w:tcW w:w="1944" w:type="dxa"/>
            <w:vMerge w:val="restart"/>
            <w:vAlign w:val="center"/>
          </w:tcPr>
          <w:p w14:paraId="00111AA8">
            <w:pPr>
              <w:pStyle w:val="50"/>
              <w:spacing w:line="360" w:lineRule="auto"/>
              <w:jc w:val="center"/>
              <w:rPr>
                <w:rFonts w:ascii="宋体" w:hAnsi="宋体" w:eastAsia="宋体"/>
                <w:b/>
                <w:szCs w:val="24"/>
              </w:rPr>
            </w:pPr>
          </w:p>
        </w:tc>
        <w:tc>
          <w:tcPr>
            <w:tcW w:w="1795" w:type="dxa"/>
            <w:vMerge w:val="restart"/>
            <w:vAlign w:val="center"/>
          </w:tcPr>
          <w:p w14:paraId="73F88558">
            <w:pPr>
              <w:pStyle w:val="50"/>
              <w:spacing w:line="360" w:lineRule="auto"/>
              <w:jc w:val="center"/>
              <w:rPr>
                <w:rFonts w:ascii="宋体" w:hAnsi="宋体" w:eastAsia="宋体"/>
                <w:b/>
                <w:szCs w:val="24"/>
              </w:rPr>
            </w:pPr>
          </w:p>
        </w:tc>
        <w:tc>
          <w:tcPr>
            <w:tcW w:w="2610" w:type="dxa"/>
            <w:vMerge w:val="restart"/>
            <w:vAlign w:val="center"/>
          </w:tcPr>
          <w:p w14:paraId="4BE069F2">
            <w:pPr>
              <w:pStyle w:val="50"/>
              <w:spacing w:line="360" w:lineRule="auto"/>
              <w:jc w:val="center"/>
              <w:rPr>
                <w:rFonts w:ascii="宋体" w:hAnsi="宋体" w:eastAsia="宋体"/>
                <w:b/>
                <w:szCs w:val="24"/>
              </w:rPr>
            </w:pPr>
            <w:r>
              <w:rPr>
                <w:rFonts w:hint="eastAsia" w:ascii="宋体" w:hAnsi="宋体" w:eastAsia="宋体"/>
                <w:b/>
                <w:szCs w:val="24"/>
              </w:rPr>
              <w:t>标的物不拆分中标</w:t>
            </w:r>
          </w:p>
        </w:tc>
      </w:tr>
      <w:tr w14:paraId="6FE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62" w:type="dxa"/>
            <w:vAlign w:val="center"/>
          </w:tcPr>
          <w:p w14:paraId="70225B67">
            <w:pPr>
              <w:pStyle w:val="50"/>
              <w:spacing w:line="360" w:lineRule="auto"/>
              <w:jc w:val="center"/>
              <w:rPr>
                <w:rFonts w:ascii="黑体" w:hAnsi="宋体"/>
                <w:szCs w:val="24"/>
              </w:rPr>
            </w:pPr>
            <w:r>
              <w:rPr>
                <w:rFonts w:hint="eastAsia" w:ascii="黑体" w:hAnsi="宋体"/>
                <w:szCs w:val="24"/>
              </w:rPr>
              <w:t>磷石膏库“一库一策”整治方案</w:t>
            </w:r>
          </w:p>
        </w:tc>
        <w:tc>
          <w:tcPr>
            <w:tcW w:w="3994" w:type="dxa"/>
            <w:vMerge w:val="continue"/>
          </w:tcPr>
          <w:p w14:paraId="6EC1BD96">
            <w:pPr>
              <w:pStyle w:val="50"/>
              <w:spacing w:line="360" w:lineRule="auto"/>
              <w:rPr>
                <w:rFonts w:ascii="黑体" w:hAnsi="宋体"/>
                <w:szCs w:val="24"/>
              </w:rPr>
            </w:pPr>
          </w:p>
        </w:tc>
        <w:tc>
          <w:tcPr>
            <w:tcW w:w="1944" w:type="dxa"/>
            <w:vMerge w:val="continue"/>
            <w:vAlign w:val="center"/>
          </w:tcPr>
          <w:p w14:paraId="7067659C">
            <w:pPr>
              <w:pStyle w:val="50"/>
              <w:spacing w:line="360" w:lineRule="auto"/>
              <w:jc w:val="center"/>
              <w:rPr>
                <w:rFonts w:ascii="宋体" w:hAnsi="宋体" w:eastAsia="宋体"/>
                <w:b/>
                <w:szCs w:val="24"/>
              </w:rPr>
            </w:pPr>
          </w:p>
        </w:tc>
        <w:tc>
          <w:tcPr>
            <w:tcW w:w="1795" w:type="dxa"/>
            <w:vMerge w:val="continue"/>
            <w:vAlign w:val="center"/>
          </w:tcPr>
          <w:p w14:paraId="060FC370">
            <w:pPr>
              <w:pStyle w:val="50"/>
              <w:spacing w:line="360" w:lineRule="auto"/>
              <w:jc w:val="center"/>
              <w:rPr>
                <w:rFonts w:ascii="宋体" w:hAnsi="宋体" w:eastAsia="宋体"/>
                <w:b/>
                <w:szCs w:val="24"/>
              </w:rPr>
            </w:pPr>
          </w:p>
        </w:tc>
        <w:tc>
          <w:tcPr>
            <w:tcW w:w="2610" w:type="dxa"/>
            <w:vMerge w:val="continue"/>
            <w:vAlign w:val="center"/>
          </w:tcPr>
          <w:p w14:paraId="6FCC2544">
            <w:pPr>
              <w:pStyle w:val="50"/>
              <w:spacing w:line="360" w:lineRule="auto"/>
              <w:jc w:val="center"/>
              <w:rPr>
                <w:rFonts w:ascii="宋体" w:hAnsi="宋体" w:eastAsia="宋体"/>
                <w:b/>
                <w:szCs w:val="24"/>
              </w:rPr>
            </w:pPr>
          </w:p>
        </w:tc>
      </w:tr>
    </w:tbl>
    <w:p w14:paraId="1A2BA24C">
      <w:pPr>
        <w:pStyle w:val="50"/>
        <w:spacing w:line="360" w:lineRule="auto"/>
        <w:rPr>
          <w:rFonts w:ascii="宋体" w:hAnsi="宋体" w:eastAsia="宋体"/>
          <w:b/>
        </w:rPr>
      </w:pPr>
    </w:p>
    <w:p w14:paraId="15414075">
      <w:pPr>
        <w:pStyle w:val="5"/>
        <w:ind w:firstLine="0" w:firstLineChars="0"/>
        <w:jc w:val="left"/>
        <w:rPr>
          <w:kern w:val="0"/>
        </w:rPr>
      </w:pPr>
      <w:r>
        <w:rPr>
          <w:rFonts w:hint="eastAsia"/>
          <w:sz w:val="20"/>
          <w:szCs w:val="20"/>
        </w:rPr>
        <w:t xml:space="preserve">          </w:t>
      </w:r>
      <w:r>
        <w:rPr>
          <w:rFonts w:hint="eastAsia"/>
        </w:rPr>
        <w:t xml:space="preserve">                                               </w:t>
      </w:r>
    </w:p>
    <w:p w14:paraId="6D5AF54D">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03DA0A2">
      <w:pPr>
        <w:tabs>
          <w:tab w:val="left" w:pos="6120"/>
          <w:tab w:val="left" w:pos="6510"/>
          <w:tab w:val="left" w:pos="12495"/>
        </w:tabs>
        <w:spacing w:line="360" w:lineRule="auto"/>
        <w:jc w:val="left"/>
        <w:rPr>
          <w:rFonts w:ascii="宋体" w:hAnsi="宋体"/>
          <w:szCs w:val="21"/>
        </w:rPr>
      </w:pPr>
    </w:p>
    <w:p w14:paraId="26BBE0D1">
      <w:pPr>
        <w:tabs>
          <w:tab w:val="left" w:pos="6120"/>
          <w:tab w:val="left" w:pos="6510"/>
          <w:tab w:val="left" w:pos="12495"/>
        </w:tabs>
        <w:spacing w:line="360" w:lineRule="auto"/>
        <w:jc w:val="left"/>
        <w:rPr>
          <w:rFonts w:ascii="宋体" w:hAnsi="宋体"/>
          <w:szCs w:val="21"/>
        </w:rPr>
      </w:pPr>
      <w:r>
        <w:rPr>
          <w:rFonts w:hint="eastAsia" w:ascii="宋体" w:hAnsi="宋体"/>
          <w:szCs w:val="21"/>
        </w:rPr>
        <w:t>联系人及电话：</w:t>
      </w:r>
    </w:p>
    <w:p w14:paraId="6CC58E74">
      <w:pPr>
        <w:tabs>
          <w:tab w:val="left" w:pos="6120"/>
          <w:tab w:val="left" w:pos="6510"/>
          <w:tab w:val="left" w:pos="12495"/>
        </w:tabs>
        <w:spacing w:line="360" w:lineRule="auto"/>
        <w:jc w:val="left"/>
        <w:rPr>
          <w:rFonts w:ascii="宋体" w:hAnsi="宋体"/>
          <w:szCs w:val="21"/>
        </w:rPr>
        <w:sectPr>
          <w:pgSz w:w="16838" w:h="11906" w:orient="landscape"/>
          <w:pgMar w:top="1191" w:right="1440" w:bottom="1191" w:left="1440" w:header="851" w:footer="992" w:gutter="0"/>
          <w:pgNumType w:start="0"/>
          <w:cols w:space="720" w:num="1"/>
          <w:titlePg/>
          <w:docGrid w:type="lines" w:linePitch="312" w:charSpace="0"/>
        </w:sectPr>
      </w:pPr>
    </w:p>
    <w:p w14:paraId="0AD431EA">
      <w:pPr>
        <w:rPr>
          <w:rFonts w:ascii="宋体" w:hAnsi="宋体"/>
          <w:szCs w:val="21"/>
        </w:rPr>
      </w:pPr>
    </w:p>
    <w:p w14:paraId="303BD212">
      <w:pPr>
        <w:pStyle w:val="35"/>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582E7211">
      <w:pPr>
        <w:pStyle w:val="35"/>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服务期：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1A5ACF6">
      <w:pPr>
        <w:pStyle w:val="35"/>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70BF42B">
      <w:pPr>
        <w:pStyle w:val="35"/>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3E454479">
      <w:pPr>
        <w:pStyle w:val="35"/>
        <w:spacing w:before="120" w:line="480" w:lineRule="exact"/>
        <w:sectPr>
          <w:pgSz w:w="11906" w:h="16838"/>
          <w:pgMar w:top="1440" w:right="1191" w:bottom="1440" w:left="1191" w:header="851" w:footer="992" w:gutter="0"/>
          <w:pgNumType w:start="0"/>
          <w:cols w:space="720" w:num="1"/>
          <w:titlePg/>
          <w:docGrid w:type="lines" w:linePitch="312" w:charSpace="0"/>
        </w:sectPr>
      </w:pPr>
      <w:r>
        <w:rPr>
          <w:rFonts w:hint="eastAsia" w:eastAsiaTheme="minorEastAsia" w:cstheme="minorBidi"/>
          <w:kern w:val="2"/>
          <w:sz w:val="21"/>
          <w:szCs w:val="21"/>
        </w:rPr>
        <w:t>费用包括报告编制费、劳务费、监测费、专家评审费和税费等为完成报告的所有费用。</w:t>
      </w:r>
      <w:r>
        <w:rPr>
          <w:rFonts w:hint="eastAsia"/>
        </w:rPr>
        <w:t xml:space="preserve">                                                   </w:t>
      </w:r>
    </w:p>
    <w:p w14:paraId="4AA23DCC">
      <w:pPr>
        <w:widowControl/>
        <w:spacing w:line="360" w:lineRule="auto"/>
        <w:ind w:firstLine="420" w:firstLineChars="200"/>
      </w:pPr>
    </w:p>
    <w:p w14:paraId="61C0E6FA">
      <w:pPr>
        <w:spacing w:line="360" w:lineRule="auto"/>
        <w:ind w:firstLine="562" w:firstLineChars="200"/>
        <w:jc w:val="center"/>
        <w:rPr>
          <w:rFonts w:ascii="宋体" w:hAnsi="宋体"/>
          <w:b/>
          <w:sz w:val="28"/>
        </w:rPr>
      </w:pPr>
      <w:r>
        <w:rPr>
          <w:rFonts w:hint="eastAsia" w:ascii="宋体" w:hAnsi="宋体" w:cs="宋体"/>
          <w:b/>
          <w:bCs/>
          <w:sz w:val="28"/>
          <w:szCs w:val="28"/>
        </w:rPr>
        <w:t>四、</w:t>
      </w:r>
      <w:r>
        <w:rPr>
          <w:rFonts w:hint="eastAsia" w:ascii="宋体" w:hAnsi="宋体"/>
          <w:b/>
          <w:sz w:val="28"/>
        </w:rPr>
        <w:t>承 诺</w:t>
      </w:r>
    </w:p>
    <w:p w14:paraId="02A9A411">
      <w:pPr>
        <w:spacing w:line="360" w:lineRule="auto"/>
        <w:ind w:firstLine="420" w:firstLineChars="200"/>
        <w:rPr>
          <w:rFonts w:ascii="宋体" w:hAnsi="宋体"/>
        </w:rPr>
      </w:pPr>
      <w:r>
        <w:rPr>
          <w:rFonts w:hint="eastAsia" w:ascii="宋体" w:hAnsi="宋体"/>
        </w:rPr>
        <w:t>致：</w:t>
      </w:r>
    </w:p>
    <w:p w14:paraId="3DDA4667">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（服务名称）的投标，现郑重作出以下承诺：</w:t>
      </w:r>
    </w:p>
    <w:p w14:paraId="484CA718">
      <w:pPr>
        <w:spacing w:line="360" w:lineRule="auto"/>
        <w:ind w:firstLine="420" w:firstLineChars="200"/>
        <w:rPr>
          <w:rFonts w:ascii="宋体" w:hAnsi="宋体"/>
        </w:rPr>
      </w:pPr>
      <w:r>
        <w:rPr>
          <w:rFonts w:hint="eastAsia" w:ascii="宋体" w:hAnsi="宋体"/>
        </w:rPr>
        <w:t>⑴我公司提供的服务符合国家要求；</w:t>
      </w:r>
    </w:p>
    <w:p w14:paraId="3315052B">
      <w:pPr>
        <w:spacing w:line="360" w:lineRule="auto"/>
        <w:ind w:left="420" w:leftChars="200"/>
        <w:rPr>
          <w:rFonts w:ascii="宋体" w:hAnsi="宋体"/>
        </w:rPr>
      </w:pPr>
      <w:r>
        <w:rPr>
          <w:rFonts w:hint="eastAsia" w:ascii="宋体" w:hAnsi="宋体"/>
        </w:rPr>
        <w:t>⑵我公司具有良好的信誉、企业处于正常生产经营状态；</w:t>
      </w:r>
    </w:p>
    <w:p w14:paraId="0DD2A87D">
      <w:pPr>
        <w:spacing w:line="360" w:lineRule="auto"/>
        <w:ind w:left="420" w:leftChars="200"/>
        <w:rPr>
          <w:rFonts w:ascii="宋体" w:hAnsi="宋体"/>
        </w:rPr>
      </w:pPr>
      <w:r>
        <w:rPr>
          <w:rFonts w:hint="eastAsia" w:ascii="宋体" w:hAnsi="宋体"/>
        </w:rPr>
        <w:t>⑶我公司完全按报价文件严格执行。</w:t>
      </w:r>
    </w:p>
    <w:p w14:paraId="666D3D83">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60E8DAAA">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72C4A8EE">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一旦我方中标，愿意按照招标文件和招标人的规定和要求签订购销合同，并信守合同、保证质量、如期完成。</w:t>
      </w:r>
    </w:p>
    <w:p w14:paraId="73F280F3">
      <w:pPr>
        <w:spacing w:line="360" w:lineRule="auto"/>
        <w:ind w:firstLine="420" w:firstLineChars="200"/>
        <w:rPr>
          <w:rFonts w:ascii="宋体" w:hAnsi="宋体"/>
        </w:rPr>
      </w:pPr>
    </w:p>
    <w:p w14:paraId="64F8309E">
      <w:pPr>
        <w:spacing w:line="360" w:lineRule="auto"/>
        <w:ind w:left="420" w:leftChars="200"/>
        <w:rPr>
          <w:rFonts w:ascii="宋体" w:hAnsi="宋体"/>
        </w:rPr>
      </w:pPr>
    </w:p>
    <w:p w14:paraId="445FEA49">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6DE0C5A">
      <w:pPr>
        <w:spacing w:line="360" w:lineRule="auto"/>
        <w:ind w:firstLine="420" w:firstLineChars="200"/>
        <w:rPr>
          <w:rFonts w:ascii="宋体" w:hAnsi="宋体"/>
        </w:rPr>
      </w:pPr>
      <w:r>
        <w:rPr>
          <w:rFonts w:hint="eastAsia" w:ascii="宋体" w:hAnsi="宋体"/>
        </w:rPr>
        <w:t xml:space="preserve">                                     </w:t>
      </w:r>
    </w:p>
    <w:p w14:paraId="5FF80B05">
      <w:pPr>
        <w:spacing w:line="360" w:lineRule="auto"/>
        <w:ind w:firstLine="4200" w:firstLineChars="2000"/>
        <w:sectPr>
          <w:pgSz w:w="11906" w:h="16838"/>
          <w:pgMar w:top="1361" w:right="1134" w:bottom="1361" w:left="1134" w:header="851" w:footer="992" w:gutter="0"/>
          <w:cols w:space="0" w:num="1"/>
          <w:docGrid w:linePitch="312" w:charSpace="0"/>
        </w:sect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2316C6D9">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12F23"/>
    <w:multiLevelType w:val="singleLevel"/>
    <w:tmpl w:val="45612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3548F"/>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30B8"/>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66F25"/>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3200"/>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032B"/>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3FE5"/>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15926"/>
    <w:rsid w:val="00F417A8"/>
    <w:rsid w:val="00F43B59"/>
    <w:rsid w:val="00F43EF6"/>
    <w:rsid w:val="00F4527F"/>
    <w:rsid w:val="00F542A9"/>
    <w:rsid w:val="00F709E5"/>
    <w:rsid w:val="00F81105"/>
    <w:rsid w:val="00F847F0"/>
    <w:rsid w:val="00F876B4"/>
    <w:rsid w:val="00F91B80"/>
    <w:rsid w:val="00F91CE2"/>
    <w:rsid w:val="00F95B40"/>
    <w:rsid w:val="00F96F43"/>
    <w:rsid w:val="00FA2308"/>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7AE2BEC"/>
    <w:rsid w:val="094A00EB"/>
    <w:rsid w:val="094D7C7A"/>
    <w:rsid w:val="097507C7"/>
    <w:rsid w:val="097D22E2"/>
    <w:rsid w:val="09AD2157"/>
    <w:rsid w:val="0A3C4D43"/>
    <w:rsid w:val="0B6C6FDB"/>
    <w:rsid w:val="0BBB617C"/>
    <w:rsid w:val="0C5F0F6E"/>
    <w:rsid w:val="0D004BE0"/>
    <w:rsid w:val="0D6635DC"/>
    <w:rsid w:val="0EC51CF1"/>
    <w:rsid w:val="0F783207"/>
    <w:rsid w:val="0F797A29"/>
    <w:rsid w:val="0FBB34F5"/>
    <w:rsid w:val="0FFD54BA"/>
    <w:rsid w:val="10525110"/>
    <w:rsid w:val="10F838E5"/>
    <w:rsid w:val="110E7C3C"/>
    <w:rsid w:val="120F5BA7"/>
    <w:rsid w:val="1235718D"/>
    <w:rsid w:val="127E39F8"/>
    <w:rsid w:val="128A3A09"/>
    <w:rsid w:val="12A6008B"/>
    <w:rsid w:val="12D009A7"/>
    <w:rsid w:val="13C54541"/>
    <w:rsid w:val="14676D7E"/>
    <w:rsid w:val="15916DD0"/>
    <w:rsid w:val="16413351"/>
    <w:rsid w:val="164E090F"/>
    <w:rsid w:val="16520C80"/>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0A81398"/>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2C311AC"/>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C904E0A"/>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8790C33"/>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132524"/>
    <w:rsid w:val="52884ADC"/>
    <w:rsid w:val="52A80CDA"/>
    <w:rsid w:val="533212A1"/>
    <w:rsid w:val="53EE72C6"/>
    <w:rsid w:val="542D2450"/>
    <w:rsid w:val="54887ACF"/>
    <w:rsid w:val="548B2661"/>
    <w:rsid w:val="54AA722A"/>
    <w:rsid w:val="55BE4F5F"/>
    <w:rsid w:val="55E22755"/>
    <w:rsid w:val="563033D2"/>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745837"/>
    <w:rsid w:val="62A42563"/>
    <w:rsid w:val="62FB0C54"/>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364A8F"/>
    <w:rsid w:val="7BBE5F26"/>
    <w:rsid w:val="7BDF3F9B"/>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字符"/>
    <w:basedOn w:val="18"/>
    <w:link w:val="10"/>
    <w:qFormat/>
    <w:uiPriority w:val="99"/>
    <w:rPr>
      <w:rFonts w:asciiTheme="minorHAnsi" w:hAnsiTheme="minorHAnsi" w:eastAsiaTheme="minorEastAsia" w:cstheme="minorBidi"/>
      <w:kern w:val="2"/>
      <w:sz w:val="18"/>
      <w:szCs w:val="18"/>
    </w:rPr>
  </w:style>
  <w:style w:type="character" w:customStyle="1" w:styleId="39">
    <w:name w:val="页脚 字符"/>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字符"/>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tabs>
        <w:tab w:val="right" w:leader="dot" w:pos="9009"/>
      </w:tabs>
    </w:pPr>
    <w:rPr>
      <w:rFonts w:ascii="Arial" w:hAnsi="Arial" w:eastAsia="宋体" w:cs="Times New Roman"/>
      <w:sz w:val="28"/>
      <w:szCs w:val="24"/>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p18"/>
    <w:basedOn w:val="1"/>
    <w:qFormat/>
    <w:uiPriority w:val="0"/>
    <w:pPr>
      <w:widowControl/>
      <w:spacing w:line="400" w:lineRule="atLeast"/>
      <w:jc w:val="center"/>
    </w:pPr>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FE7CC-41BF-49D7-8957-4AD3F641EC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1875</Words>
  <Characters>2048</Characters>
  <Lines>19</Lines>
  <Paragraphs>5</Paragraphs>
  <TotalTime>67</TotalTime>
  <ScaleCrop>false</ScaleCrop>
  <LinksUpToDate>false</LinksUpToDate>
  <CharactersWithSpaces>2664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程康</cp:lastModifiedBy>
  <dcterms:modified xsi:type="dcterms:W3CDTF">2025-08-13T02:32:30Z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eyJoZGlkIjoiMzEwNTM5NzYwMDRjMzkwZTVkZjY2ODkwMGIxNGU0OTUiLCJ1c2VySWQiOiIzNzU4NzkwNDkifQ==</vt:lpwstr>
  </property>
  <property fmtid="{D5CDD505-2E9C-101B-9397-08002B2CF9AE}" pid="3" name="KSOProductBuildVer">
    <vt:lpwstr>2052-12.1.0.21915</vt:lpwstr>
  </property>
  <property fmtid="{D5CDD505-2E9C-101B-9397-08002B2CF9AE}" pid="4" name="ICV">
    <vt:lpwstr>638278A91B6247A3A14F33886A0DB3EB_13</vt:lpwstr>
  </property>
</Properties>
</file>