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095D4">
      <w:pPr>
        <w:spacing w:line="360" w:lineRule="auto"/>
        <w:jc w:val="center"/>
        <w:rPr>
          <w:rFonts w:hint="eastAsia"/>
          <w:b/>
          <w:color w:val="000000"/>
          <w:sz w:val="72"/>
          <w:szCs w:val="72"/>
          <w:lang w:val="en-US" w:eastAsia="zh-CN"/>
        </w:rPr>
      </w:pPr>
    </w:p>
    <w:p w14:paraId="1BEC0FAF">
      <w:pPr>
        <w:spacing w:line="360" w:lineRule="auto"/>
        <w:jc w:val="center"/>
        <w:rPr>
          <w:rFonts w:hint="eastAsia"/>
          <w:b/>
          <w:color w:val="000000"/>
          <w:sz w:val="72"/>
          <w:szCs w:val="72"/>
          <w:lang w:val="en-US" w:eastAsia="zh-CN"/>
        </w:rPr>
      </w:pPr>
      <w:r>
        <w:rPr>
          <w:rFonts w:hint="eastAsia"/>
          <w:b/>
          <w:color w:val="000000"/>
          <w:sz w:val="72"/>
          <w:szCs w:val="72"/>
          <w:lang w:val="en-US" w:eastAsia="zh-CN"/>
        </w:rPr>
        <w:t>四川宏达股份有限公司</w:t>
      </w:r>
    </w:p>
    <w:p w14:paraId="6C6D3088">
      <w:pPr>
        <w:spacing w:line="360" w:lineRule="auto"/>
        <w:jc w:val="center"/>
        <w:rPr>
          <w:rFonts w:hint="default"/>
          <w:b/>
          <w:color w:val="000000"/>
          <w:sz w:val="72"/>
          <w:szCs w:val="72"/>
          <w:lang w:val="en-US" w:eastAsia="zh-CN"/>
        </w:rPr>
      </w:pPr>
      <w:r>
        <w:rPr>
          <w:rFonts w:hint="eastAsia"/>
          <w:b/>
          <w:color w:val="000000"/>
          <w:sz w:val="72"/>
          <w:szCs w:val="72"/>
          <w:lang w:val="en-US" w:eastAsia="zh-CN"/>
        </w:rPr>
        <w:t>什邡磷化工分公司</w:t>
      </w:r>
    </w:p>
    <w:p w14:paraId="0A61CA28">
      <w:pPr>
        <w:adjustRightInd w:val="0"/>
        <w:snapToGrid w:val="0"/>
        <w:jc w:val="both"/>
        <w:rPr>
          <w:rFonts w:hint="eastAsia" w:ascii="隶书" w:eastAsia="隶书"/>
          <w:b/>
          <w:bCs/>
          <w:color w:val="000000"/>
          <w:spacing w:val="40"/>
          <w:sz w:val="72"/>
          <w:szCs w:val="44"/>
        </w:rPr>
      </w:pPr>
    </w:p>
    <w:p w14:paraId="59BAAF0F">
      <w:pPr>
        <w:adjustRightInd w:val="0"/>
        <w:snapToGrid w:val="0"/>
        <w:jc w:val="both"/>
        <w:rPr>
          <w:rFonts w:hint="eastAsia" w:ascii="隶书" w:eastAsia="隶书"/>
          <w:b/>
          <w:bCs/>
          <w:color w:val="000000"/>
          <w:spacing w:val="40"/>
          <w:sz w:val="72"/>
          <w:szCs w:val="44"/>
        </w:rPr>
      </w:pPr>
    </w:p>
    <w:p w14:paraId="5BBF567D">
      <w:pPr>
        <w:adjustRightInd w:val="0"/>
        <w:snapToGrid w:val="0"/>
        <w:jc w:val="both"/>
        <w:rPr>
          <w:rFonts w:hint="eastAsia" w:ascii="隶书" w:eastAsia="隶书"/>
          <w:b/>
          <w:bCs/>
          <w:color w:val="000000"/>
          <w:spacing w:val="40"/>
          <w:sz w:val="72"/>
          <w:szCs w:val="44"/>
        </w:rPr>
      </w:pPr>
    </w:p>
    <w:p w14:paraId="0926F103"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40"/>
          <w:sz w:val="60"/>
          <w:szCs w:val="6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40"/>
          <w:sz w:val="60"/>
          <w:szCs w:val="60"/>
          <w:lang w:val="en-US" w:eastAsia="zh-CN"/>
        </w:rPr>
        <w:t>消防泵联动PLC控制系统</w:t>
      </w:r>
    </w:p>
    <w:p w14:paraId="5CAA80B6"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60"/>
          <w:szCs w:val="6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60"/>
          <w:szCs w:val="60"/>
        </w:rPr>
        <w:t>技术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60"/>
          <w:szCs w:val="60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b/>
          <w:bCs/>
          <w:color w:val="000000"/>
          <w:sz w:val="60"/>
          <w:szCs w:val="60"/>
        </w:rPr>
        <w:t>书</w:t>
      </w:r>
    </w:p>
    <w:p w14:paraId="52B02868">
      <w:pPr>
        <w:rPr>
          <w:rFonts w:hint="eastAsia"/>
          <w:color w:val="000000"/>
        </w:rPr>
      </w:pPr>
    </w:p>
    <w:p w14:paraId="1862EA36">
      <w:pPr>
        <w:snapToGrid w:val="0"/>
        <w:spacing w:after="156" w:afterLines="50" w:line="360" w:lineRule="auto"/>
        <w:rPr>
          <w:rFonts w:hint="eastAsia" w:hAnsi="宋体"/>
          <w:b/>
          <w:color w:val="000000"/>
          <w:spacing w:val="5"/>
          <w:sz w:val="28"/>
        </w:rPr>
      </w:pPr>
    </w:p>
    <w:p w14:paraId="1306A425">
      <w:pPr>
        <w:snapToGrid w:val="0"/>
        <w:spacing w:after="156" w:afterLines="50" w:line="360" w:lineRule="auto"/>
        <w:rPr>
          <w:rFonts w:hint="eastAsia" w:hAnsi="宋体"/>
          <w:b/>
          <w:color w:val="000000"/>
          <w:spacing w:val="5"/>
          <w:sz w:val="28"/>
        </w:rPr>
      </w:pPr>
    </w:p>
    <w:p w14:paraId="053F7E17">
      <w:pPr>
        <w:snapToGrid w:val="0"/>
        <w:spacing w:after="156" w:afterLines="50" w:line="360" w:lineRule="auto"/>
        <w:rPr>
          <w:rFonts w:hint="eastAsia" w:hAnsi="宋体"/>
          <w:b/>
          <w:color w:val="000000"/>
          <w:spacing w:val="5"/>
          <w:sz w:val="28"/>
        </w:rPr>
      </w:pPr>
    </w:p>
    <w:p w14:paraId="771D6CEC">
      <w:pPr>
        <w:snapToGrid w:val="0"/>
        <w:spacing w:after="156" w:afterLines="50" w:line="360" w:lineRule="auto"/>
        <w:rPr>
          <w:rFonts w:hint="eastAsia" w:hAnsi="宋体"/>
          <w:b/>
          <w:color w:val="000000"/>
          <w:spacing w:val="5"/>
          <w:sz w:val="28"/>
        </w:rPr>
      </w:pPr>
    </w:p>
    <w:p w14:paraId="4F5149AA">
      <w:pPr>
        <w:snapToGrid w:val="0"/>
        <w:spacing w:after="156" w:afterLines="50" w:line="360" w:lineRule="auto"/>
        <w:rPr>
          <w:rFonts w:hint="eastAsia" w:hAnsi="宋体"/>
          <w:b/>
          <w:color w:val="000000"/>
          <w:spacing w:val="5"/>
          <w:sz w:val="28"/>
        </w:rPr>
      </w:pPr>
    </w:p>
    <w:p w14:paraId="1AA1F685">
      <w:pPr>
        <w:snapToGrid w:val="0"/>
        <w:spacing w:after="156" w:afterLines="50" w:line="360" w:lineRule="auto"/>
        <w:jc w:val="both"/>
        <w:rPr>
          <w:rFonts w:hint="eastAsia" w:hAnsi="宋体"/>
          <w:b/>
          <w:color w:val="000000"/>
          <w:spacing w:val="5"/>
          <w:sz w:val="28"/>
          <w:lang w:val="en-US" w:eastAsia="zh-CN"/>
        </w:rPr>
      </w:pPr>
    </w:p>
    <w:p w14:paraId="7E653103">
      <w:pPr>
        <w:snapToGrid w:val="0"/>
        <w:spacing w:after="156" w:afterLines="50" w:line="360" w:lineRule="auto"/>
        <w:jc w:val="right"/>
        <w:rPr>
          <w:rFonts w:hint="eastAsia" w:hAnsi="宋体"/>
          <w:b/>
          <w:color w:val="000000"/>
          <w:spacing w:val="5"/>
          <w:sz w:val="28"/>
          <w:lang w:val="en-US" w:eastAsia="zh-CN"/>
        </w:rPr>
      </w:pPr>
      <w:r>
        <w:rPr>
          <w:rFonts w:hint="eastAsia" w:hAnsi="宋体"/>
          <w:b/>
          <w:color w:val="000000"/>
          <w:spacing w:val="5"/>
          <w:sz w:val="28"/>
          <w:lang w:val="en-US" w:eastAsia="zh-CN"/>
        </w:rPr>
        <w:t>（技术）王江13700903942</w:t>
      </w:r>
    </w:p>
    <w:p w14:paraId="3D73E9E1">
      <w:pPr>
        <w:snapToGrid w:val="0"/>
        <w:spacing w:after="156" w:afterLines="50" w:line="360" w:lineRule="auto"/>
        <w:jc w:val="right"/>
        <w:rPr>
          <w:rFonts w:hint="default" w:hAnsi="宋体"/>
          <w:b/>
          <w:color w:val="000000"/>
          <w:spacing w:val="5"/>
          <w:sz w:val="28"/>
          <w:lang w:val="en-US" w:eastAsia="zh-CN"/>
        </w:rPr>
      </w:pPr>
      <w:r>
        <w:rPr>
          <w:rFonts w:hint="eastAsia" w:hAnsi="宋体"/>
          <w:b/>
          <w:color w:val="000000"/>
          <w:spacing w:val="5"/>
          <w:sz w:val="28"/>
          <w:lang w:val="en-US" w:eastAsia="zh-CN"/>
        </w:rPr>
        <w:t>2025年6月17日</w:t>
      </w:r>
    </w:p>
    <w:p w14:paraId="51A8A5C6">
      <w:pPr>
        <w:jc w:val="center"/>
        <w:rPr>
          <w:rFonts w:hint="eastAsia"/>
          <w:lang w:val="en-US" w:eastAsia="zh-CN"/>
        </w:rPr>
      </w:pPr>
    </w:p>
    <w:p w14:paraId="50C4086F">
      <w:pPr>
        <w:jc w:val="center"/>
        <w:rPr>
          <w:rFonts w:hint="eastAsia"/>
          <w:lang w:val="en-US" w:eastAsia="zh-CN"/>
        </w:rPr>
      </w:pPr>
    </w:p>
    <w:p w14:paraId="0E2A0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1.项目地点</w:t>
      </w:r>
    </w:p>
    <w:p w14:paraId="12297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项目位于四川省什邡市洛水镇，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四川省辖县级市，由德阳市代管，位于四川盆地腹地成都平原，东与绵竹市和旌阳区相邻，南与广汉市接壤，西与彭州市毗连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 w14:paraId="46FED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2.气象资料</w:t>
      </w:r>
    </w:p>
    <w:p w14:paraId="770BC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什邡市属于亚热带湿润气候区。特点为夏雨冬阴，云雾多，日照少，年温差不太大的暖温环境。由于纬度条件和海洋季风的影响，年平均气温在十三至十七摄氏度之间。平坝区为盆西气候带类型，其北部受山地亚热带常绿森林气候的影响，东西南三面与邻县大气互为回流。气候温和，雨量充沛，日照偏少，四季分明。</w:t>
      </w:r>
    </w:p>
    <w:p w14:paraId="0DD71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概述</w:t>
      </w:r>
    </w:p>
    <w:p w14:paraId="3B8650AB">
      <w:pPr>
        <w:ind w:firstLine="562" w:firstLineChars="200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3.1 系统及逻辑描述</w:t>
      </w:r>
    </w:p>
    <w:p w14:paraId="43825B25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（1）.主要控制逻辑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（排序序号即为主要顺序）</w:t>
      </w:r>
    </w:p>
    <w:p w14:paraId="4176C3C0"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1.1）.PLC系统接收2#或者3#消防泵的启动和火灾信号（2选2）打开相应出口2#或者3#电动蝶阀（对应2#、3#消防泵），同时关闭直供水电动蝶阀（4#阀）和关闭1#生产水泵出口阀（1#阀），停止1#生产水泵运行；2#或者3#阀的关闭需要手动按钮按下给“手动复位1”信号；直供水电动蝶阀（4#阀）打开手动按钮按下给“手动复位2”信号；1#生产水泵和出口阀（1#阀）的停止和关闭除了联锁信号外，还有物理按钮“停止1#”（3选1），手动按钮停止和关闭1#生产水泵和出口阀（1#阀）。</w:t>
      </w:r>
    </w:p>
    <w:p w14:paraId="06E25DB3">
      <w:pPr>
        <w:ind w:firstLine="562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附：联锁逻辑图</w:t>
      </w:r>
    </w:p>
    <w:p w14:paraId="6ECF241F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（1.2）.1#生产水泵、2#或3#消防泵都停止时则要打开直供水电动蝶阀（4#阀）。</w:t>
      </w:r>
    </w:p>
    <w:p w14:paraId="62233693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1.3）.PLC系统接收1#生产水泵启动或者运行信号则打开1#生产水泵出口阀（1#阀），关闭直供水电动蝶阀（4#阀）；系统接收1#生产水泵停止运行信号则关闭1#生产水泵出口阀（1#阀），打开直供水电动蝶阀（4#阀）。</w:t>
      </w:r>
    </w:p>
    <w:p w14:paraId="40300405">
      <w:pPr>
        <w:ind w:firstLine="562" w:firstLineChars="200"/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总结：1#生产水泵、2#或3#消防泵任意运行一个，直供水电动蝶阀（4#阀）都要关闭；全部泵都停止时则要打开直供水电动蝶阀（4#阀）。</w:t>
      </w:r>
    </w:p>
    <w:p w14:paraId="7ECDD632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（2）.在PLC系统控制柜上设置电动蝶阀的反馈信号（开到位/关到位）指示灯；设置切换自动/手动运行模式选择开关；设置物理按键在手动模式下可以逐台控制，按打开/关闭电动蝶阀的按钮。</w:t>
      </w:r>
    </w:p>
    <w:p w14:paraId="28D3ABA2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（3）.电动蝶阀的电源开关（空气开关）由系统柜集成供电，单台功率预计300W。</w:t>
      </w:r>
    </w:p>
    <w:p w14:paraId="5BC4BA94">
      <w:pPr>
        <w:ind w:firstLine="562" w:firstLineChars="200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3.2 此项目主要组成:</w:t>
      </w:r>
    </w:p>
    <w:p w14:paraId="6478A952"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（1）.机柜：1个，长*深*高（制造厂集成，立式柜，空间富裕量≥50%），主体结构及板材金属板厚≥2mm，颜色：灰色，柜内布置由成套厂设计布置。工作接地、保护接地等配置完善。</w:t>
      </w:r>
    </w:p>
    <w:p w14:paraId="081DF3EC"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（2）.PLC：DI输入通道≥30个，DO输出通道≥30个，推荐品牌：西门子、和利时、浙江中控、汇川技术；输入输出用中间继电器隔离。</w:t>
      </w:r>
    </w:p>
    <w:p w14:paraId="6999434D"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（3）.电源浪涌保护器：1个，220V.AC，型号：PHL-TA-20/385/2P。</w:t>
      </w:r>
    </w:p>
    <w:p w14:paraId="2B325A46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（4）.声光报警器：1个（≥120dB,柜顶预装1个，故障报警输出）。</w:t>
      </w:r>
    </w:p>
    <w:p w14:paraId="7F719255"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（5）.其他主要电气元件使用人民电气或者正泰电气产品。</w:t>
      </w:r>
    </w:p>
    <w:p w14:paraId="7A9DCE81">
      <w:pPr>
        <w:widowControl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.设备安装与调试</w:t>
      </w:r>
    </w:p>
    <w:p w14:paraId="51A7AD2F">
      <w:pPr>
        <w:widowControl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.1 在设备安装、调试期间，派合格的安装人员到现场进行指导安装、调试。</w:t>
      </w:r>
    </w:p>
    <w:p w14:paraId="53ED23D9">
      <w:pPr>
        <w:widowControl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.2 设备安装前卖方需向买方进行技术交底。安装过程中，应当完全接受买方协调。向买方提供安装所需的所有图纸(电气图纸保证完整、有效、正确，原理图以展开图的形式绘出)、标准、专用工具、要求及注意事项，供卖方认可。</w:t>
      </w:r>
    </w:p>
    <w:p w14:paraId="75524200">
      <w:pPr>
        <w:widowControl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.3 乙方提供PLC控制系统应在所有方面都是完整的，并能满足本规格书提到的设计要求、技术要求和质量保证要求。</w:t>
      </w:r>
    </w:p>
    <w:p w14:paraId="12706F82">
      <w:pPr>
        <w:widowControl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提供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柜，装配包括所有的电气设备（含报警），和控制程序。</w:t>
      </w:r>
    </w:p>
    <w:p w14:paraId="45D7C81E">
      <w:pPr>
        <w:widowControl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提供完整的维修手册，它包括所有的日常和非正常维修、故障排除和有关步骤。</w:t>
      </w:r>
    </w:p>
    <w:p w14:paraId="563207DA">
      <w:pPr>
        <w:widowControl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提供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不加密程序（供应商编程）、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详细的安装图、内部布置图、内部接线图。</w:t>
      </w:r>
    </w:p>
    <w:p w14:paraId="7A4C8F80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提供电气单元和主接线图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接地、避雷、用电等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满足相关规范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要求；提供用于信号测量及控制接线图、电路和供电的图纸；提供设备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合格证、检验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等有关资料。</w:t>
      </w:r>
    </w:p>
    <w:p w14:paraId="39D9FD2D">
      <w:pPr>
        <w:widowControl/>
        <w:jc w:val="left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.执行标准</w:t>
      </w:r>
    </w:p>
    <w:p w14:paraId="04395BB1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设计、制造及测试验收工作均应遵从现行的相关标准、规范及安全规定且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不仅限于</w:t>
      </w:r>
      <w:r>
        <w:rPr>
          <w:rFonts w:hint="eastAsia" w:ascii="仿宋_GB2312" w:hAnsi="仿宋_GB2312" w:eastAsia="仿宋_GB2312" w:cs="仿宋_GB2312"/>
          <w:sz w:val="28"/>
          <w:szCs w:val="28"/>
        </w:rPr>
        <w:t>下面所列各项。在相关规范尚未出现或者尚未被正式发布之前，上述工作应符合IEC组织的相应标准。</w:t>
      </w:r>
    </w:p>
    <w:p w14:paraId="63363447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GB2421-89  电工电子产品基本环境试验规程</w:t>
      </w:r>
    </w:p>
    <w:p w14:paraId="71B57748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IEC 60255  继电器</w:t>
      </w:r>
    </w:p>
    <w:p w14:paraId="7A93A222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GB4208-93  外壳防护等级（IP码）</w:t>
      </w:r>
    </w:p>
    <w:p w14:paraId="22A5A11D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GB/T13926.1-92  工业过程测量和控制装置的电磁兼容性，第1部分:总论</w:t>
      </w:r>
    </w:p>
    <w:p w14:paraId="7EE5F6E6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GB/T13926.2-92  工业过程测量和控制装置的电磁兼容性，第2部分: 静电放电要求</w:t>
      </w:r>
    </w:p>
    <w:p w14:paraId="5C664295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GB/T13926.3-92  工业过程测量和控制装置的电磁兼容性，第3部分:辐射电磁场要求</w:t>
      </w:r>
    </w:p>
    <w:p w14:paraId="118B75AC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卖方提出的其它相应替代标准，但需经买方确认。</w:t>
      </w:r>
    </w:p>
    <w:p w14:paraId="561FEF9F">
      <w:pPr>
        <w:widowControl/>
        <w:jc w:val="left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.设备供货清单</w:t>
      </w:r>
    </w:p>
    <w:p w14:paraId="57D80D1C">
      <w:pPr>
        <w:ind w:firstLine="560" w:firstLineChars="2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乙方需提供主要设备的详细清单。</w:t>
      </w:r>
    </w:p>
    <w:p w14:paraId="6C1FB9CC"/>
    <w:sectPr>
      <w:head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1EE32">
    <w:pPr>
      <w:pStyle w:val="2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四川宏达股份有限公司什邡磷化工分公司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69F4"/>
    <w:rsid w:val="0CDE0E6F"/>
    <w:rsid w:val="0D5C45C0"/>
    <w:rsid w:val="0E0C1800"/>
    <w:rsid w:val="0FE10DAC"/>
    <w:rsid w:val="139B3968"/>
    <w:rsid w:val="13EE5846"/>
    <w:rsid w:val="14F5010D"/>
    <w:rsid w:val="17226E67"/>
    <w:rsid w:val="1C0025BA"/>
    <w:rsid w:val="1F6A38DF"/>
    <w:rsid w:val="25E300A0"/>
    <w:rsid w:val="28AF0ABD"/>
    <w:rsid w:val="2BBF1A78"/>
    <w:rsid w:val="2D6055AE"/>
    <w:rsid w:val="314131F4"/>
    <w:rsid w:val="350C3E04"/>
    <w:rsid w:val="3A563FC1"/>
    <w:rsid w:val="3C8910FA"/>
    <w:rsid w:val="3EA25F0F"/>
    <w:rsid w:val="3EE000A9"/>
    <w:rsid w:val="46466C87"/>
    <w:rsid w:val="47380BB4"/>
    <w:rsid w:val="4B9613D7"/>
    <w:rsid w:val="4E2B2C17"/>
    <w:rsid w:val="4FE66024"/>
    <w:rsid w:val="52AD531A"/>
    <w:rsid w:val="55CA6585"/>
    <w:rsid w:val="565D2D98"/>
    <w:rsid w:val="58152A58"/>
    <w:rsid w:val="58887EBC"/>
    <w:rsid w:val="74B20FC5"/>
    <w:rsid w:val="77C406AC"/>
    <w:rsid w:val="796F7C64"/>
    <w:rsid w:val="7B8732D3"/>
    <w:rsid w:val="7C9E557A"/>
    <w:rsid w:val="7E5D6F76"/>
    <w:rsid w:val="7E65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1668</Words>
  <Characters>1864</Characters>
  <Lines>0</Lines>
  <Paragraphs>0</Paragraphs>
  <TotalTime>15</TotalTime>
  <ScaleCrop>false</ScaleCrop>
  <LinksUpToDate>false</LinksUpToDate>
  <CharactersWithSpaces>1887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2022-06-25T01:51:00Z</dcterms:created>
  <dc:creator>DELL</dc:creator>
  <cp:lastModifiedBy>HUAWEI</cp:lastModifiedBy>
  <dcterms:modified xsi:type="dcterms:W3CDTF">2025-08-04T07:15:19Z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6A034BE57D7245A0BDD4B5B45924C696</vt:lpwstr>
  </property>
  <property fmtid="{D5CDD505-2E9C-101B-9397-08002B2CF9AE}" pid="4" name="KSOTemplateDocerSaveRecord">
    <vt:lpwstr>eyJoZGlkIjoiMzEwNTM5NzYwMDRjMzkwZTVkZjY2ODkwMGIxNGU0OTUiLCJ1c2VySWQiOiI1ODMxMTg2NzEifQ==</vt:lpwstr>
  </property>
</Properties>
</file>