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972B9">
      <w:pPr>
        <w:autoSpaceDE w:val="0"/>
        <w:autoSpaceDN w:val="0"/>
        <w:adjustRightInd w:val="0"/>
        <w:spacing w:before="100" w:after="100"/>
        <w:jc w:val="center"/>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什邡磷化工分公司</w:t>
      </w:r>
    </w:p>
    <w:p w14:paraId="3BB27F37">
      <w:pPr>
        <w:autoSpaceDE w:val="0"/>
        <w:autoSpaceDN w:val="0"/>
        <w:adjustRightInd w:val="0"/>
        <w:spacing w:before="100" w:after="100"/>
        <w:jc w:val="center"/>
        <w:rPr>
          <w:rFonts w:hint="eastAsia" w:ascii="宋体" w:hAnsi="宋体" w:eastAsia="宋体" w:cs="宋体"/>
          <w:b/>
          <w:bCs/>
          <w:color w:val="auto"/>
          <w:sz w:val="48"/>
          <w:szCs w:val="48"/>
          <w:highlight w:val="none"/>
          <w:lang w:val="en-US" w:eastAsia="zh-CN"/>
        </w:rPr>
      </w:pPr>
      <w:r>
        <w:rPr>
          <w:rFonts w:hint="eastAsia" w:ascii="宋体" w:hAnsi="宋体" w:eastAsia="宋体" w:cs="宋体"/>
          <w:b/>
          <w:bCs/>
          <w:color w:val="auto"/>
          <w:sz w:val="48"/>
          <w:szCs w:val="48"/>
          <w:highlight w:val="none"/>
          <w:lang w:val="en-US" w:eastAsia="zh-CN"/>
        </w:rPr>
        <w:t>职业病危害预评价报告书、</w:t>
      </w:r>
    </w:p>
    <w:p w14:paraId="3E5A19FE">
      <w:pPr>
        <w:autoSpaceDE w:val="0"/>
        <w:autoSpaceDN w:val="0"/>
        <w:adjustRightInd w:val="0"/>
        <w:spacing w:before="100" w:after="100"/>
        <w:jc w:val="center"/>
        <w:rPr>
          <w:rFonts w:cs="黑体" w:asciiTheme="minorEastAsia" w:hAnsiTheme="minorEastAsia" w:eastAsiaTheme="minorEastAsia"/>
          <w:color w:val="auto"/>
          <w:sz w:val="84"/>
          <w:szCs w:val="84"/>
          <w:highlight w:val="none"/>
          <w:lang w:val="zh-CN"/>
        </w:rPr>
      </w:pPr>
      <w:r>
        <w:rPr>
          <w:rFonts w:hint="eastAsia" w:ascii="宋体" w:hAnsi="宋体" w:eastAsia="宋体" w:cs="宋体"/>
          <w:b/>
          <w:bCs/>
          <w:color w:val="auto"/>
          <w:sz w:val="48"/>
          <w:szCs w:val="48"/>
          <w:highlight w:val="none"/>
          <w:lang w:val="en-US" w:eastAsia="zh-CN"/>
        </w:rPr>
        <w:t>职业病防护设施设计专篇采购</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5"/>
        <w:rPr>
          <w:rFonts w:hint="eastAsia" w:asciiTheme="minorEastAsia" w:hAnsiTheme="minorEastAsia" w:eastAsiaTheme="minorEastAsia"/>
          <w:b/>
          <w:color w:val="auto"/>
          <w:kern w:val="0"/>
          <w:sz w:val="72"/>
          <w:szCs w:val="72"/>
          <w:highlight w:val="none"/>
        </w:rPr>
      </w:pPr>
    </w:p>
    <w:p w14:paraId="33D068A5">
      <w:pPr>
        <w:pStyle w:val="11"/>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1"/>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编号：SFLHG-GKBX-2025-FW31</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b/>
          <w:bCs/>
          <w:color w:val="auto"/>
          <w:sz w:val="30"/>
          <w:szCs w:val="30"/>
          <w:highlight w:val="none"/>
          <w:u w:val="single"/>
          <w:lang w:val="en-US" w:eastAsia="zh-CN"/>
        </w:rPr>
        <w:t>什邡磷化工分</w:t>
      </w:r>
      <w:r>
        <w:rPr>
          <w:rFonts w:hint="eastAsia" w:asciiTheme="minorEastAsia" w:hAnsiTheme="minorEastAsia" w:eastAsiaTheme="minorEastAsia"/>
          <w:b/>
          <w:bCs/>
          <w:color w:val="auto"/>
          <w:sz w:val="30"/>
          <w:szCs w:val="30"/>
          <w:highlight w:val="none"/>
          <w:u w:val="single"/>
          <w:lang w:val="en-US" w:eastAsia="zh-CN"/>
        </w:rPr>
        <w:t>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25</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8</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1</w:t>
      </w:r>
      <w:r>
        <w:rPr>
          <w:rFonts w:hint="eastAsia" w:cs="黑体" w:asciiTheme="minorEastAsia" w:hAnsiTheme="minorEastAsia" w:eastAsiaTheme="minorEastAsia"/>
          <w:b/>
          <w:bCs/>
          <w:color w:val="auto"/>
          <w:sz w:val="30"/>
          <w:szCs w:val="30"/>
          <w:highlight w:val="none"/>
          <w:lang w:val="en-US" w:eastAsia="zh-CN"/>
        </w:rPr>
        <w:t>日</w:t>
      </w:r>
    </w:p>
    <w:p w14:paraId="2E01371C">
      <w:pPr>
        <w:jc w:val="center"/>
        <w:rPr>
          <w:rFonts w:hint="eastAsia" w:ascii="黑体" w:hAnsi="黑体" w:eastAsia="黑体" w:cs="宋体"/>
          <w:b/>
          <w:color w:val="auto"/>
          <w:kern w:val="0"/>
          <w:sz w:val="32"/>
          <w:szCs w:val="32"/>
        </w:rPr>
      </w:pPr>
      <w:r>
        <w:rPr>
          <w:rFonts w:hint="eastAsia" w:ascii="黑体" w:hAnsi="黑体" w:eastAsia="黑体" w:cs="宋体"/>
          <w:b/>
          <w:color w:val="auto"/>
          <w:kern w:val="0"/>
          <w:sz w:val="32"/>
          <w:szCs w:val="32"/>
          <w:lang w:val="en-US" w:eastAsia="zh-CN"/>
        </w:rPr>
        <w:t>什邡磷化工分</w:t>
      </w:r>
      <w:r>
        <w:rPr>
          <w:rFonts w:hint="eastAsia" w:ascii="黑体" w:hAnsi="黑体" w:eastAsia="黑体" w:cs="宋体"/>
          <w:b/>
          <w:color w:val="auto"/>
          <w:kern w:val="0"/>
          <w:sz w:val="32"/>
          <w:szCs w:val="32"/>
        </w:rPr>
        <w:t>公司</w:t>
      </w:r>
    </w:p>
    <w:p w14:paraId="76E3CA76">
      <w:pPr>
        <w:jc w:val="center"/>
        <w:rPr>
          <w:rFonts w:hint="eastAsia" w:ascii="黑体" w:hAnsi="黑体" w:eastAsia="黑体" w:cs="宋体"/>
          <w:b/>
          <w:color w:val="auto"/>
          <w:kern w:val="0"/>
          <w:sz w:val="32"/>
          <w:szCs w:val="32"/>
          <w:lang w:val="zh-CN" w:eastAsia="zh-CN"/>
        </w:rPr>
      </w:pPr>
      <w:r>
        <w:rPr>
          <w:rFonts w:hint="eastAsia" w:ascii="黑体" w:hAnsi="黑体" w:eastAsia="黑体" w:cs="宋体"/>
          <w:b/>
          <w:color w:val="auto"/>
          <w:kern w:val="0"/>
          <w:sz w:val="32"/>
          <w:szCs w:val="32"/>
          <w:lang w:val="en-US" w:eastAsia="zh-CN"/>
        </w:rPr>
        <w:t>职业病危害预评价报告书、职业病防护设施设计专篇采购</w:t>
      </w:r>
    </w:p>
    <w:p w14:paraId="4D403B75">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编号：SFLHG-GKBX-2025-FW31</w:t>
      </w:r>
    </w:p>
    <w:p w14:paraId="23CFBEF3">
      <w:pPr>
        <w:spacing w:line="36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7A46ECDF">
      <w:pPr>
        <w:spacing w:line="360" w:lineRule="exact"/>
        <w:ind w:firstLine="560" w:firstLineChars="200"/>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由四川宏达股份有限公司什邡磷化工分公司因生产需编制：120kt/a硫酸装置设备更新及配套余热发电项目《职业病危害预评价报告书》及《职业病防护设施设计专篇》采购，本着“公开、公平、公正”的原则，现对该项目进行公开比选</w:t>
      </w:r>
      <w:r>
        <w:rPr>
          <w:rFonts w:hint="eastAsia" w:ascii="黑体" w:hAnsi="黑体" w:eastAsia="黑体" w:cs="宋体"/>
          <w:color w:val="auto"/>
          <w:kern w:val="0"/>
          <w:sz w:val="28"/>
          <w:szCs w:val="28"/>
        </w:rPr>
        <w:t>。欢迎贵公司前来报价，现将相关事项公告如下：</w:t>
      </w:r>
    </w:p>
    <w:p w14:paraId="3C4DF528">
      <w:pPr>
        <w:numPr>
          <w:ilvl w:val="0"/>
          <w:numId w:val="1"/>
        </w:numPr>
        <w:spacing w:line="36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标的物：</w:t>
      </w:r>
      <w:r>
        <w:rPr>
          <w:rFonts w:hint="eastAsia" w:ascii="黑体" w:hAnsi="黑体" w:eastAsia="黑体" w:cs="宋体"/>
          <w:color w:val="auto"/>
          <w:kern w:val="0"/>
          <w:sz w:val="28"/>
          <w:szCs w:val="28"/>
          <w:lang w:val="en-US" w:eastAsia="zh-CN"/>
        </w:rPr>
        <w:t>编制：120kt/a硫酸装置设备更新及配套余热发电项目《职业病危害预评价报告书》及《职业病防护设施设计专篇》</w:t>
      </w:r>
    </w:p>
    <w:p w14:paraId="3189E225">
      <w:pPr>
        <w:numPr>
          <w:ilvl w:val="0"/>
          <w:numId w:val="0"/>
        </w:num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二、比选人：</w:t>
      </w:r>
      <w:r>
        <w:rPr>
          <w:rFonts w:hint="eastAsia" w:ascii="黑体" w:hAnsi="黑体" w:eastAsia="黑体" w:cs="宋体"/>
          <w:color w:val="auto"/>
          <w:kern w:val="0"/>
          <w:sz w:val="28"/>
          <w:szCs w:val="28"/>
          <w:lang w:val="en-US" w:eastAsia="zh-CN"/>
        </w:rPr>
        <w:t>什邡磷化工分</w:t>
      </w:r>
      <w:r>
        <w:rPr>
          <w:rFonts w:hint="eastAsia" w:ascii="黑体" w:hAnsi="黑体" w:eastAsia="黑体" w:cs="宋体"/>
          <w:color w:val="auto"/>
          <w:kern w:val="0"/>
          <w:sz w:val="28"/>
          <w:szCs w:val="28"/>
        </w:rPr>
        <w:t xml:space="preserve">公司  </w:t>
      </w:r>
    </w:p>
    <w:p w14:paraId="67EB3B3D">
      <w:p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三、具体内容及要求：</w:t>
      </w:r>
    </w:p>
    <w:p w14:paraId="6AF89CE7">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 xml:space="preserve">1、参与投标的服务单位应当具备下列条件： </w:t>
      </w:r>
    </w:p>
    <w:p w14:paraId="65811F74">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 xml:space="preserve">（一）能够独立承担民事责任； </w:t>
      </w:r>
    </w:p>
    <w:p w14:paraId="2A498C8D">
      <w:pPr>
        <w:spacing w:line="36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（二）根据《职业卫生技术服务机构管理办法》第二章 第九条 申请职业卫生技术服务机构资质的申请人，应当具备下列条件：（1）能够独立承担民事责任；（2）有固定工作场所，实验室、档案室等场所的面积与所申请资质、业务范围相适应；（3）具有符合要求的实验室，具备与所申请资质、业务范围相适应的仪器设备；（4）有健全的内部管理制度和质量保证体系；（5）具有满足学历、 专业、 技术职称等要求的专业技术人员，专业技术人员不少于十五名；（6）有专职技术负责人和质量控制负责人。专职技术负责人具有高级专业技术职称和三年以上职业卫生相关工作经验，或者中级专业技术职称和八年以上职业卫生相关工作经验。质量控制负责人具有高级专业技术职称和三年以上相关工作经验，或者中级专业技术职称和五年以上相关工作经验；（7）具有与所申请业务范围相适应的检测、评价能力；（8）截至申请之日五年内无严重违法失信记录；（9）正常运行并可以供公众查询信息的网站；（10）法律、行政法规规定的其他条件。</w:t>
      </w:r>
    </w:p>
    <w:p w14:paraId="00932954">
      <w:pPr>
        <w:spacing w:line="360" w:lineRule="exact"/>
        <w:rPr>
          <w:rFonts w:hint="default" w:ascii="黑体" w:hAnsi="黑体" w:eastAsia="黑体" w:cs="宋体"/>
          <w:color w:val="auto"/>
          <w:kern w:val="0"/>
          <w:sz w:val="28"/>
          <w:szCs w:val="28"/>
          <w:lang w:val="en-US" w:eastAsia="zh-CN"/>
        </w:rPr>
      </w:pPr>
      <w:r>
        <w:rPr>
          <w:rFonts w:hint="eastAsia" w:ascii="黑体" w:hAnsi="黑体" w:eastAsia="黑体" w:cs="黑体"/>
          <w:color w:val="auto"/>
          <w:sz w:val="28"/>
          <w:szCs w:val="28"/>
          <w:lang w:val="en-US" w:eastAsia="zh-CN"/>
        </w:rPr>
        <w:t>2.服务</w:t>
      </w:r>
      <w:r>
        <w:rPr>
          <w:rFonts w:hint="eastAsia" w:ascii="黑体" w:hAnsi="黑体" w:eastAsia="黑体" w:cs="宋体"/>
          <w:color w:val="auto"/>
          <w:kern w:val="0"/>
          <w:sz w:val="28"/>
          <w:szCs w:val="28"/>
        </w:rPr>
        <w:t>地点：四川宏达股份有限公司</w:t>
      </w:r>
      <w:r>
        <w:rPr>
          <w:rFonts w:hint="eastAsia" w:ascii="黑体" w:hAnsi="黑体" w:eastAsia="黑体" w:cs="宋体"/>
          <w:color w:val="auto"/>
          <w:kern w:val="0"/>
          <w:sz w:val="28"/>
          <w:szCs w:val="28"/>
          <w:lang w:val="en-US" w:eastAsia="zh-CN"/>
        </w:rPr>
        <w:t>什邡磷化工分公司（什邡市洛水镇）</w:t>
      </w:r>
    </w:p>
    <w:p w14:paraId="65D426B4">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3</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lang w:val="en-US" w:eastAsia="zh-CN"/>
        </w:rPr>
        <w:t>服务</w:t>
      </w:r>
      <w:r>
        <w:rPr>
          <w:rFonts w:hint="eastAsia" w:ascii="黑体" w:hAnsi="黑体" w:eastAsia="黑体" w:cs="宋体"/>
          <w:color w:val="auto"/>
          <w:kern w:val="0"/>
          <w:sz w:val="28"/>
          <w:szCs w:val="28"/>
        </w:rPr>
        <w:t>期：</w:t>
      </w:r>
      <w:r>
        <w:rPr>
          <w:rFonts w:hint="eastAsia" w:ascii="黑体" w:hAnsi="黑体" w:eastAsia="黑体" w:cs="宋体"/>
          <w:color w:val="auto"/>
          <w:kern w:val="0"/>
          <w:sz w:val="28"/>
          <w:szCs w:val="28"/>
          <w:lang w:val="en-US" w:eastAsia="zh-CN"/>
        </w:rPr>
        <w:t>2025年</w:t>
      </w:r>
      <w:r>
        <w:rPr>
          <w:rFonts w:hint="eastAsia" w:ascii="黑体" w:hAnsi="黑体" w:eastAsia="黑体" w:cs="Times New Roman"/>
          <w:color w:val="auto"/>
          <w:sz w:val="28"/>
          <w:szCs w:val="28"/>
          <w:lang w:val="en-US" w:eastAsia="zh-CN"/>
        </w:rPr>
        <w:t>9月30日前提交报告送审件</w:t>
      </w:r>
      <w:r>
        <w:rPr>
          <w:rFonts w:hint="eastAsia" w:ascii="黑体" w:hAnsi="黑体" w:eastAsia="黑体" w:cs="宋体"/>
          <w:color w:val="auto"/>
          <w:kern w:val="1"/>
          <w:sz w:val="28"/>
          <w:szCs w:val="28"/>
        </w:rPr>
        <w:t>。</w:t>
      </w:r>
    </w:p>
    <w:p w14:paraId="318C942C">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4</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color w:val="auto"/>
          <w:sz w:val="28"/>
          <w:szCs w:val="28"/>
          <w:lang w:val="en-US" w:eastAsia="zh-CN"/>
        </w:rPr>
      </w:pPr>
      <w:r>
        <w:rPr>
          <w:rFonts w:hint="eastAsia" w:ascii="黑体" w:hAnsi="黑体" w:eastAsia="黑体" w:cs="黑体"/>
          <w:color w:val="auto"/>
          <w:kern w:val="0"/>
          <w:sz w:val="28"/>
          <w:szCs w:val="28"/>
        </w:rPr>
        <w:t>①</w:t>
      </w:r>
      <w:r>
        <w:rPr>
          <w:rFonts w:hint="eastAsia" w:ascii="黑体" w:hAnsi="黑体" w:eastAsia="黑体" w:cs="Segoe UI"/>
          <w:color w:val="auto"/>
          <w:kern w:val="0"/>
          <w:sz w:val="28"/>
          <w:szCs w:val="28"/>
        </w:rPr>
        <w:t>付款方式</w:t>
      </w:r>
      <w:r>
        <w:rPr>
          <w:rFonts w:hint="eastAsia" w:ascii="黑体" w:hAnsi="黑体" w:eastAsia="黑体" w:cs="Segoe UI"/>
          <w:color w:val="auto"/>
          <w:kern w:val="0"/>
          <w:sz w:val="28"/>
          <w:szCs w:val="28"/>
          <w:lang w:eastAsia="zh-CN"/>
        </w:rPr>
        <w:t>：</w:t>
      </w:r>
      <w:r>
        <w:rPr>
          <w:rFonts w:hint="eastAsia" w:ascii="黑体" w:hAnsi="黑体" w:eastAsia="黑体" w:cs="黑体"/>
          <w:color w:val="auto"/>
          <w:sz w:val="28"/>
          <w:szCs w:val="28"/>
          <w:lang w:eastAsia="zh-CN"/>
        </w:rPr>
        <w:t>以银行电汇或银行电子承兑汇票支付。报告通过专家评审会后，一次性付清技术服务全部费用。</w:t>
      </w:r>
    </w:p>
    <w:p w14:paraId="3914BA72">
      <w:pPr>
        <w:spacing w:line="420" w:lineRule="exact"/>
        <w:rPr>
          <w:rFonts w:ascii="黑体" w:hAnsi="黑体" w:eastAsia="黑体" w:cs="宋体"/>
          <w:color w:val="auto"/>
          <w:kern w:val="0"/>
          <w:sz w:val="28"/>
          <w:szCs w:val="28"/>
        </w:rPr>
      </w:pPr>
      <w:r>
        <w:rPr>
          <w:rFonts w:hint="eastAsia" w:ascii="黑体" w:hAnsi="黑体" w:eastAsia="黑体" w:cs="黑体"/>
          <w:color w:val="auto"/>
          <w:kern w:val="0"/>
          <w:sz w:val="28"/>
          <w:szCs w:val="28"/>
        </w:rPr>
        <w:t>②</w:t>
      </w:r>
      <w:r>
        <w:rPr>
          <w:rFonts w:hint="eastAsia" w:ascii="黑体" w:hAnsi="黑体" w:eastAsia="黑体" w:cs="宋体"/>
          <w:color w:val="auto"/>
          <w:kern w:val="0"/>
          <w:sz w:val="28"/>
          <w:szCs w:val="28"/>
        </w:rPr>
        <w:t>一票制，供应商开具全额增值税专用发票(税率</w:t>
      </w:r>
      <w:r>
        <w:rPr>
          <w:rFonts w:hint="eastAsia" w:ascii="黑体" w:hAnsi="黑体" w:eastAsia="黑体" w:cs="宋体"/>
          <w:color w:val="auto"/>
          <w:kern w:val="0"/>
          <w:sz w:val="28"/>
          <w:szCs w:val="28"/>
          <w:lang w:val="en-US" w:eastAsia="zh-CN"/>
        </w:rPr>
        <w:t xml:space="preserve">  </w:t>
      </w:r>
      <w:r>
        <w:rPr>
          <w:rFonts w:hint="eastAsia" w:ascii="黑体" w:hAnsi="黑体" w:eastAsia="黑体" w:cs="宋体"/>
          <w:color w:val="auto"/>
          <w:kern w:val="0"/>
          <w:sz w:val="28"/>
          <w:szCs w:val="28"/>
        </w:rPr>
        <w:t>%)。</w:t>
      </w:r>
    </w:p>
    <w:p w14:paraId="6F201807">
      <w:pPr>
        <w:numPr>
          <w:ilvl w:val="0"/>
          <w:numId w:val="0"/>
        </w:numPr>
        <w:spacing w:line="420" w:lineRule="exact"/>
        <w:ind w:left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 xml:space="preserve">获取方式为：自 2025年8月1日 12 时 00 分至 2025年 8月6日 12 时 00 分通过四川宏达股份有限公司集采中心招投标平台(以下简称“ 宏达股份集采平台”）（http://jc.sichuanhongda.com/）进行注册并登录后参与投标并下载比选文件。 </w:t>
      </w:r>
    </w:p>
    <w:p w14:paraId="504767B0">
      <w:pPr>
        <w:numPr>
          <w:ilvl w:val="0"/>
          <w:numId w:val="2"/>
        </w:numPr>
        <w:spacing w:line="420" w:lineRule="exact"/>
        <w:ind w:left="0" w:leftChars="0" w:firstLine="0" w:firstLine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响应性文件的递交</w:t>
      </w:r>
    </w:p>
    <w:p w14:paraId="03D00619">
      <w:p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递交截止时间：2025年8月 6日 12 时 00 分。</w:t>
      </w:r>
    </w:p>
    <w:p w14:paraId="0E7C9B66">
      <w:pPr>
        <w:spacing w:line="420" w:lineRule="exact"/>
        <w:rPr>
          <w:rFonts w:hint="eastAsia" w:ascii="黑体" w:hAnsi="黑体" w:eastAsia="黑体" w:cs="仿宋_GB2312"/>
          <w:color w:val="auto"/>
          <w:sz w:val="28"/>
          <w:szCs w:val="28"/>
          <w:lang w:val="en-US" w:eastAsia="zh-CN"/>
        </w:rPr>
      </w:pPr>
      <w:r>
        <w:rPr>
          <w:rFonts w:hint="eastAsia" w:ascii="黑体" w:hAnsi="黑体" w:eastAsia="黑体" w:cs="黑体"/>
          <w:color w:val="auto"/>
          <w:kern w:val="0"/>
          <w:sz w:val="28"/>
          <w:szCs w:val="28"/>
          <w:lang w:val="en-US" w:eastAsia="zh-CN"/>
        </w:rPr>
        <w:t>比选申请</w:t>
      </w:r>
      <w:r>
        <w:rPr>
          <w:rFonts w:hint="eastAsia" w:ascii="黑体" w:hAnsi="黑体" w:eastAsia="黑体" w:cs="黑体"/>
          <w:color w:val="auto"/>
          <w:kern w:val="0"/>
          <w:sz w:val="28"/>
          <w:szCs w:val="28"/>
        </w:rPr>
        <w:t>人按本</w:t>
      </w:r>
      <w:r>
        <w:rPr>
          <w:rFonts w:hint="eastAsia" w:ascii="黑体" w:hAnsi="黑体" w:eastAsia="黑体" w:cs="黑体"/>
          <w:color w:val="auto"/>
          <w:kern w:val="0"/>
          <w:sz w:val="28"/>
          <w:szCs w:val="28"/>
          <w:lang w:val="en-US" w:eastAsia="zh-CN"/>
        </w:rPr>
        <w:t>比选</w:t>
      </w:r>
      <w:r>
        <w:rPr>
          <w:rFonts w:hint="eastAsia" w:ascii="黑体" w:hAnsi="黑体" w:eastAsia="黑体" w:cs="黑体"/>
          <w:color w:val="auto"/>
          <w:kern w:val="0"/>
          <w:sz w:val="28"/>
          <w:szCs w:val="28"/>
        </w:rPr>
        <w:t>文件</w:t>
      </w:r>
      <w:r>
        <w:rPr>
          <w:rFonts w:hint="eastAsia" w:ascii="黑体" w:hAnsi="黑体" w:eastAsia="黑体" w:cs="黑体"/>
          <w:color w:val="auto"/>
          <w:kern w:val="0"/>
          <w:sz w:val="28"/>
          <w:szCs w:val="28"/>
          <w:lang w:val="en-US" w:eastAsia="zh-CN"/>
        </w:rPr>
        <w:t>第三章响应性文件</w:t>
      </w:r>
      <w:r>
        <w:rPr>
          <w:rFonts w:hint="eastAsia" w:ascii="黑体" w:hAnsi="黑体" w:eastAsia="黑体" w:cs="黑体"/>
          <w:color w:val="auto"/>
          <w:kern w:val="0"/>
          <w:sz w:val="28"/>
          <w:szCs w:val="28"/>
        </w:rPr>
        <w:t>格式制作报价文件，</w:t>
      </w:r>
      <w:r>
        <w:rPr>
          <w:rFonts w:hint="eastAsia" w:ascii="黑体" w:hAnsi="黑体" w:eastAsia="黑体" w:cs="黑体"/>
          <w:color w:val="auto"/>
          <w:sz w:val="28"/>
          <w:szCs w:val="28"/>
        </w:rPr>
        <w:t>注明</w:t>
      </w:r>
      <w:r>
        <w:rPr>
          <w:rFonts w:hint="eastAsia" w:ascii="黑体" w:hAnsi="黑体" w:eastAsia="黑体" w:cs="黑体"/>
          <w:color w:val="auto"/>
          <w:kern w:val="0"/>
          <w:sz w:val="28"/>
          <w:szCs w:val="28"/>
        </w:rPr>
        <w:t>标的物名称、</w:t>
      </w:r>
      <w:r>
        <w:rPr>
          <w:rFonts w:hint="eastAsia" w:ascii="黑体" w:hAnsi="黑体" w:eastAsia="黑体" w:cs="黑体"/>
          <w:color w:val="auto"/>
          <w:sz w:val="28"/>
          <w:szCs w:val="28"/>
        </w:rPr>
        <w:t>单价（</w:t>
      </w:r>
      <w:r>
        <w:rPr>
          <w:rFonts w:hint="eastAsia" w:ascii="黑体" w:hAnsi="黑体" w:eastAsia="黑体" w:cs="黑体"/>
          <w:color w:val="auto"/>
          <w:sz w:val="28"/>
          <w:szCs w:val="28"/>
          <w:lang w:val="en-US" w:eastAsia="zh-CN"/>
        </w:rPr>
        <w:t>含</w:t>
      </w:r>
      <w:r>
        <w:rPr>
          <w:rFonts w:hint="eastAsia" w:ascii="黑体" w:hAnsi="黑体" w:eastAsia="黑体" w:cs="黑体"/>
          <w:color w:val="auto"/>
          <w:sz w:val="28"/>
          <w:szCs w:val="28"/>
        </w:rPr>
        <w:t>税</w:t>
      </w:r>
      <w:r>
        <w:rPr>
          <w:rFonts w:hint="eastAsia" w:ascii="黑体" w:hAnsi="黑体" w:eastAsia="黑体" w:cs="黑体"/>
          <w:color w:val="auto"/>
          <w:sz w:val="28"/>
          <w:szCs w:val="28"/>
          <w:lang w:val="en-US" w:eastAsia="zh-CN"/>
        </w:rPr>
        <w:t>价</w:t>
      </w:r>
      <w:r>
        <w:rPr>
          <w:rFonts w:hint="eastAsia" w:ascii="黑体" w:hAnsi="黑体" w:eastAsia="黑体" w:cs="黑体"/>
          <w:color w:val="auto"/>
          <w:sz w:val="28"/>
          <w:szCs w:val="28"/>
        </w:rPr>
        <w:t>）、合计金额、</w:t>
      </w:r>
      <w:r>
        <w:rPr>
          <w:rFonts w:hint="eastAsia" w:ascii="黑体" w:hAnsi="黑体" w:eastAsia="黑体" w:cs="黑体"/>
          <w:color w:val="auto"/>
          <w:sz w:val="28"/>
          <w:szCs w:val="28"/>
          <w:lang w:val="en-US" w:eastAsia="zh-CN"/>
        </w:rPr>
        <w:t>服务</w:t>
      </w:r>
      <w:r>
        <w:rPr>
          <w:rFonts w:hint="eastAsia" w:ascii="黑体" w:hAnsi="黑体" w:eastAsia="黑体" w:cs="黑体"/>
          <w:color w:val="auto"/>
          <w:sz w:val="28"/>
          <w:szCs w:val="28"/>
        </w:rPr>
        <w:t>期、付款方式等（若询价约定的标的物交货期、付款方式、质保期</w:t>
      </w:r>
      <w:r>
        <w:rPr>
          <w:rFonts w:hint="eastAsia" w:ascii="黑体" w:hAnsi="黑体" w:eastAsia="黑体" w:cs="黑体"/>
          <w:color w:val="auto"/>
          <w:sz w:val="28"/>
          <w:szCs w:val="28"/>
          <w:lang w:val="en-US" w:eastAsia="zh-CN"/>
        </w:rPr>
        <w:t>等</w:t>
      </w:r>
      <w:r>
        <w:rPr>
          <w:rFonts w:hint="eastAsia" w:ascii="黑体" w:hAnsi="黑体" w:eastAsia="黑体" w:cs="黑体"/>
          <w:color w:val="auto"/>
          <w:sz w:val="28"/>
          <w:szCs w:val="28"/>
        </w:rPr>
        <w:t>有异议，请在报价文件中另作说明）。</w:t>
      </w:r>
      <w:r>
        <w:rPr>
          <w:rFonts w:hint="eastAsia" w:ascii="黑体" w:hAnsi="黑体" w:eastAsia="黑体" w:cs="黑体"/>
          <w:color w:val="auto"/>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color w:val="auto"/>
          <w:kern w:val="2"/>
          <w:sz w:val="28"/>
          <w:szCs w:val="28"/>
          <w:lang w:val="en-US" w:eastAsia="zh-CN" w:bidi="ar-SA"/>
        </w:rPr>
        <w:t>宏达股份集采平台</w:t>
      </w:r>
      <w:r>
        <w:rPr>
          <w:rFonts w:hint="eastAsia" w:ascii="黑体" w:hAnsi="黑体" w:eastAsia="黑体" w:cs="黑体"/>
          <w:color w:val="auto"/>
          <w:sz w:val="28"/>
          <w:szCs w:val="28"/>
          <w:lang w:val="en-US" w:eastAsia="zh-CN"/>
        </w:rPr>
        <w:t>。</w:t>
      </w:r>
    </w:p>
    <w:p w14:paraId="0BDA6A4D">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①比选申请人需提供</w:t>
      </w:r>
      <w:bookmarkStart w:id="0" w:name="OLE_LINK4"/>
      <w:bookmarkStart w:id="1" w:name="OLE_LINK3"/>
      <w:r>
        <w:rPr>
          <w:rFonts w:hint="eastAsia" w:ascii="黑体" w:hAnsi="黑体" w:eastAsia="黑体" w:cs="仿宋_GB2312"/>
          <w:color w:val="auto"/>
          <w:sz w:val="28"/>
          <w:szCs w:val="28"/>
          <w:lang w:val="en-US" w:eastAsia="zh-CN"/>
        </w:rPr>
        <w:t>营业执照</w:t>
      </w:r>
      <w:bookmarkEnd w:id="0"/>
      <w:bookmarkEnd w:id="1"/>
      <w:r>
        <w:rPr>
          <w:rFonts w:hint="eastAsia" w:ascii="黑体" w:hAnsi="黑体" w:eastAsia="黑体" w:cs="仿宋_GB2312"/>
          <w:color w:val="auto"/>
          <w:sz w:val="28"/>
          <w:szCs w:val="28"/>
          <w:lang w:val="en-US" w:eastAsia="zh-CN"/>
        </w:rPr>
        <w:t>及相关资质。</w:t>
      </w:r>
    </w:p>
    <w:p w14:paraId="539C008C">
      <w:pPr>
        <w:numPr>
          <w:ilvl w:val="0"/>
          <w:numId w:val="0"/>
        </w:numPr>
        <w:spacing w:line="420" w:lineRule="exact"/>
        <w:ind w:leftChars="0"/>
        <w:rPr>
          <w:rFonts w:ascii="黑体" w:hAnsi="黑体" w:eastAsia="黑体" w:cs="Segoe UI"/>
          <w:color w:val="auto"/>
          <w:kern w:val="0"/>
          <w:sz w:val="28"/>
          <w:szCs w:val="28"/>
        </w:rPr>
      </w:pPr>
      <w:r>
        <w:rPr>
          <w:rFonts w:hint="eastAsia" w:ascii="黑体" w:hAnsi="黑体" w:eastAsia="黑体" w:cs="仿宋_GB2312"/>
          <w:color w:val="auto"/>
          <w:sz w:val="28"/>
          <w:szCs w:val="28"/>
          <w:lang w:val="en-US" w:eastAsia="zh-CN"/>
        </w:rPr>
        <w:t>②提供相关服务业绩（附中标通知书或合同扫描件，中标通知书或合同包括已履约完成和正在履约均可，同一家</w:t>
      </w:r>
      <w:r>
        <w:rPr>
          <w:rFonts w:hint="eastAsia" w:ascii="黑体" w:hAnsi="黑体" w:eastAsia="黑体" w:cs="Segoe UI"/>
          <w:color w:val="auto"/>
          <w:kern w:val="0"/>
          <w:sz w:val="28"/>
          <w:szCs w:val="28"/>
        </w:rPr>
        <w:t>单位多次</w:t>
      </w:r>
      <w:r>
        <w:rPr>
          <w:rFonts w:hint="eastAsia" w:ascii="黑体" w:hAnsi="黑体" w:eastAsia="黑体" w:cs="Segoe UI"/>
          <w:color w:val="auto"/>
          <w:kern w:val="0"/>
          <w:sz w:val="28"/>
          <w:szCs w:val="28"/>
          <w:lang w:val="en-US" w:eastAsia="zh-CN"/>
        </w:rPr>
        <w:t>服务</w:t>
      </w:r>
      <w:r>
        <w:rPr>
          <w:rFonts w:hint="eastAsia" w:ascii="黑体" w:hAnsi="黑体" w:eastAsia="黑体" w:cs="Segoe UI"/>
          <w:color w:val="auto"/>
          <w:kern w:val="0"/>
          <w:sz w:val="28"/>
          <w:szCs w:val="28"/>
        </w:rPr>
        <w:t>，合同数量可累计）。</w:t>
      </w:r>
    </w:p>
    <w:p w14:paraId="54DDC833">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9</w:t>
      </w:r>
      <w:r>
        <w:rPr>
          <w:rFonts w:hint="eastAsia" w:ascii="黑体" w:hAnsi="黑体" w:eastAsia="黑体" w:cs="宋体"/>
          <w:color w:val="auto"/>
          <w:kern w:val="0"/>
          <w:sz w:val="28"/>
          <w:szCs w:val="28"/>
          <w:lang w:eastAsia="zh-CN"/>
        </w:rPr>
        <w:t>.</w:t>
      </w:r>
      <w:r>
        <w:rPr>
          <w:rFonts w:hint="eastAsia" w:ascii="黑体" w:hAnsi="黑体" w:eastAsia="黑体" w:cs="Times New Roman"/>
          <w:color w:val="auto"/>
          <w:sz w:val="28"/>
          <w:szCs w:val="28"/>
        </w:rPr>
        <w:t>比选时不保证最低价中选，但充分注意合理的最低报价。</w:t>
      </w:r>
    </w:p>
    <w:p w14:paraId="56674FAE">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1</w:t>
      </w:r>
      <w:r>
        <w:rPr>
          <w:rFonts w:hint="eastAsia" w:ascii="黑体" w:hAnsi="黑体" w:eastAsia="黑体" w:cs="宋体"/>
          <w:color w:val="auto"/>
          <w:kern w:val="0"/>
          <w:sz w:val="28"/>
          <w:szCs w:val="28"/>
          <w:lang w:val="en-US" w:eastAsia="zh-CN"/>
        </w:rPr>
        <w:t>0</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b/>
          <w:bCs/>
          <w:color w:val="auto"/>
          <w:kern w:val="0"/>
          <w:sz w:val="28"/>
          <w:szCs w:val="28"/>
          <w:lang w:val="en-US" w:eastAsia="zh-CN"/>
        </w:rPr>
      </w:pPr>
      <w:r>
        <w:rPr>
          <w:rFonts w:hint="eastAsia" w:ascii="黑体" w:hAnsi="黑体" w:eastAsia="黑体" w:cs="宋体"/>
          <w:color w:val="auto"/>
          <w:kern w:val="0"/>
          <w:sz w:val="28"/>
          <w:szCs w:val="28"/>
        </w:rPr>
        <w:t>联系人：</w:t>
      </w:r>
      <w:r>
        <w:rPr>
          <w:rFonts w:hint="eastAsia" w:ascii="黑体" w:hAnsi="黑体" w:eastAsia="黑体" w:cs="宋体"/>
          <w:color w:val="auto"/>
          <w:kern w:val="0"/>
          <w:sz w:val="28"/>
          <w:szCs w:val="28"/>
          <w:lang w:val="en-US" w:eastAsia="zh-CN"/>
        </w:rPr>
        <w:t>程康15282839809  技术：王卓文13890269558</w:t>
      </w:r>
    </w:p>
    <w:p w14:paraId="446C7FA9">
      <w:pPr>
        <w:adjustRightInd w:val="0"/>
        <w:spacing w:line="420" w:lineRule="exact"/>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color w:val="auto"/>
          <w:kern w:val="0"/>
          <w:sz w:val="28"/>
          <w:szCs w:val="28"/>
        </w:rPr>
      </w:pPr>
    </w:p>
    <w:p w14:paraId="6ED43AE4">
      <w:pPr>
        <w:rPr>
          <w:rFonts w:ascii="黑体" w:hAnsi="黑体" w:eastAsia="黑体" w:cs="宋体"/>
          <w:color w:val="auto"/>
          <w:kern w:val="0"/>
          <w:sz w:val="28"/>
          <w:szCs w:val="28"/>
        </w:rPr>
      </w:pPr>
    </w:p>
    <w:p w14:paraId="20636B28">
      <w:pPr>
        <w:pStyle w:val="5"/>
        <w:rPr>
          <w:color w:val="auto"/>
        </w:rPr>
      </w:pPr>
    </w:p>
    <w:p w14:paraId="7F1145CE">
      <w:pPr>
        <w:adjustRightInd w:val="0"/>
        <w:spacing w:line="420" w:lineRule="exact"/>
        <w:ind w:firstLine="5460" w:firstLineChars="1950"/>
        <w:jc w:val="lef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什邡磷化工分</w:t>
      </w:r>
      <w:r>
        <w:rPr>
          <w:rFonts w:hint="eastAsia" w:ascii="黑体" w:hAnsi="黑体" w:eastAsia="黑体" w:cs="宋体"/>
          <w:color w:val="auto"/>
          <w:kern w:val="0"/>
          <w:sz w:val="28"/>
          <w:szCs w:val="28"/>
        </w:rPr>
        <w:t>公司</w:t>
      </w:r>
    </w:p>
    <w:p w14:paraId="2A7A58D4">
      <w:pPr>
        <w:spacing w:line="420" w:lineRule="exact"/>
        <w:ind w:firstLine="5880" w:firstLineChars="2100"/>
        <w:rPr>
          <w:rFonts w:ascii="黑体" w:hAnsi="黑体" w:eastAsia="黑体" w:cs="宋体"/>
          <w:color w:val="auto"/>
          <w:kern w:val="0"/>
          <w:sz w:val="28"/>
          <w:szCs w:val="28"/>
        </w:rPr>
      </w:pPr>
      <w:r>
        <w:rPr>
          <w:rFonts w:hint="eastAsia" w:ascii="黑体" w:hAnsi="黑体" w:eastAsia="黑体" w:cs="宋体"/>
          <w:color w:val="auto"/>
          <w:kern w:val="0"/>
          <w:sz w:val="28"/>
          <w:szCs w:val="28"/>
        </w:rPr>
        <w:t>2025年</w:t>
      </w:r>
      <w:r>
        <w:rPr>
          <w:rFonts w:hint="eastAsia" w:ascii="黑体" w:hAnsi="黑体" w:eastAsia="黑体" w:cs="宋体"/>
          <w:color w:val="auto"/>
          <w:kern w:val="0"/>
          <w:sz w:val="28"/>
          <w:szCs w:val="28"/>
          <w:lang w:val="en-US" w:eastAsia="zh-CN"/>
        </w:rPr>
        <w:t>8</w:t>
      </w:r>
      <w:r>
        <w:rPr>
          <w:rFonts w:hint="eastAsia" w:ascii="黑体" w:hAnsi="黑体" w:eastAsia="黑体" w:cs="宋体"/>
          <w:color w:val="auto"/>
          <w:kern w:val="0"/>
          <w:sz w:val="28"/>
          <w:szCs w:val="28"/>
        </w:rPr>
        <w:t>月</w:t>
      </w:r>
      <w:r>
        <w:rPr>
          <w:rFonts w:hint="eastAsia" w:ascii="黑体" w:hAnsi="黑体" w:eastAsia="黑体" w:cs="宋体"/>
          <w:color w:val="auto"/>
          <w:kern w:val="0"/>
          <w:sz w:val="28"/>
          <w:szCs w:val="28"/>
          <w:lang w:val="en-US" w:eastAsia="zh-CN"/>
        </w:rPr>
        <w:t>1</w:t>
      </w:r>
      <w:r>
        <w:rPr>
          <w:rFonts w:hint="eastAsia" w:ascii="黑体" w:hAnsi="黑体" w:eastAsia="黑体" w:cs="宋体"/>
          <w:color w:val="auto"/>
          <w:kern w:val="0"/>
          <w:sz w:val="28"/>
          <w:szCs w:val="28"/>
        </w:rPr>
        <w:t>日</w:t>
      </w:r>
    </w:p>
    <w:p w14:paraId="104BB685">
      <w:pPr>
        <w:spacing w:line="420" w:lineRule="exact"/>
        <w:rPr>
          <w:rFonts w:hint="eastAsia" w:ascii="黑体" w:hAnsi="黑体" w:eastAsia="黑体" w:cs="宋体"/>
          <w:b/>
          <w:color w:val="auto"/>
          <w:kern w:val="0"/>
          <w:sz w:val="28"/>
          <w:szCs w:val="28"/>
        </w:rPr>
      </w:pPr>
    </w:p>
    <w:p w14:paraId="0A9B5430">
      <w:pPr>
        <w:spacing w:line="360" w:lineRule="exact"/>
        <w:rPr>
          <w:rFonts w:hint="eastAsia" w:ascii="黑体" w:hAnsi="黑体" w:eastAsia="黑体" w:cs="宋体"/>
          <w:b/>
          <w:color w:val="auto"/>
          <w:kern w:val="0"/>
          <w:sz w:val="28"/>
          <w:szCs w:val="28"/>
        </w:rPr>
      </w:pPr>
    </w:p>
    <w:p w14:paraId="12331C79">
      <w:pPr>
        <w:pStyle w:val="49"/>
        <w:rPr>
          <w:rFonts w:hint="eastAsia"/>
          <w:color w:val="auto"/>
        </w:rPr>
      </w:pPr>
    </w:p>
    <w:p w14:paraId="77262E01">
      <w:pPr>
        <w:spacing w:line="360" w:lineRule="exact"/>
        <w:rPr>
          <w:rFonts w:hint="eastAsia" w:ascii="黑体" w:hAnsi="黑体" w:eastAsia="黑体" w:cs="宋体"/>
          <w:b/>
          <w:color w:val="auto"/>
          <w:kern w:val="0"/>
          <w:sz w:val="28"/>
          <w:szCs w:val="28"/>
        </w:rPr>
      </w:pPr>
    </w:p>
    <w:p w14:paraId="4E4B15C3">
      <w:pPr>
        <w:spacing w:line="360" w:lineRule="exact"/>
        <w:rPr>
          <w:rFonts w:hint="eastAsia" w:ascii="黑体" w:hAnsi="黑体" w:eastAsia="黑体" w:cs="宋体"/>
          <w:b/>
          <w:color w:val="auto"/>
          <w:kern w:val="0"/>
          <w:sz w:val="28"/>
          <w:szCs w:val="28"/>
        </w:rPr>
      </w:pPr>
    </w:p>
    <w:p w14:paraId="37EDF4DE">
      <w:pPr>
        <w:spacing w:line="360" w:lineRule="exact"/>
        <w:rPr>
          <w:rFonts w:hint="eastAsia" w:ascii="黑体" w:hAnsi="黑体" w:eastAsia="黑体" w:cs="宋体"/>
          <w:b/>
          <w:color w:val="auto"/>
          <w:kern w:val="0"/>
          <w:sz w:val="28"/>
          <w:szCs w:val="28"/>
        </w:rPr>
      </w:pPr>
    </w:p>
    <w:p w14:paraId="43C42125">
      <w:pPr>
        <w:spacing w:line="360" w:lineRule="exact"/>
        <w:rPr>
          <w:rFonts w:hint="eastAsia" w:ascii="黑体" w:hAnsi="黑体" w:eastAsia="黑体" w:cs="宋体"/>
          <w:b/>
          <w:color w:val="auto"/>
          <w:kern w:val="0"/>
          <w:sz w:val="28"/>
          <w:szCs w:val="28"/>
        </w:rPr>
      </w:pPr>
    </w:p>
    <w:p w14:paraId="64827940">
      <w:pPr>
        <w:spacing w:line="360" w:lineRule="exact"/>
        <w:rPr>
          <w:rFonts w:hint="eastAsia" w:ascii="黑体" w:hAnsi="黑体" w:eastAsia="黑体" w:cs="宋体"/>
          <w:b/>
          <w:color w:val="auto"/>
          <w:kern w:val="0"/>
          <w:sz w:val="28"/>
          <w:szCs w:val="28"/>
        </w:rPr>
      </w:pPr>
    </w:p>
    <w:p w14:paraId="5EE89FF4">
      <w:pPr>
        <w:jc w:val="both"/>
        <w:rPr>
          <w:rFonts w:hint="eastAsia" w:ascii="宋体" w:hAnsi="宋体" w:cs="仿宋" w:eastAsiaTheme="minorEastAsia"/>
          <w:color w:val="auto"/>
          <w:szCs w:val="21"/>
          <w:lang w:val="en-US" w:eastAsia="zh-CN"/>
        </w:rPr>
      </w:pPr>
      <w:bookmarkStart w:id="2" w:name="_Toc303149804"/>
      <w:bookmarkStart w:id="3" w:name="_Toc274236999"/>
      <w:bookmarkStart w:id="4" w:name="_Toc274596702"/>
      <w:bookmarkStart w:id="5" w:name="_Toc318986166"/>
      <w:bookmarkStart w:id="6" w:name="_Toc238552273"/>
      <w:bookmarkStart w:id="7" w:name="_Toc268793030"/>
      <w:bookmarkStart w:id="8" w:name="_Toc275019684"/>
      <w:bookmarkStart w:id="9" w:name="_Toc269113527"/>
      <w:bookmarkStart w:id="10" w:name="_Toc16684"/>
      <w:bookmarkStart w:id="11" w:name="_Toc275019836"/>
      <w:bookmarkStart w:id="12" w:name="_Toc275014947"/>
      <w:bookmarkStart w:id="13" w:name="_Toc275019290"/>
      <w:bookmarkStart w:id="14" w:name="_Toc238797630"/>
      <w:r>
        <w:rPr>
          <w:rFonts w:hint="eastAsia" w:ascii="宋体" w:hAnsi="宋体"/>
          <w:color w:val="auto"/>
          <w:kern w:val="0"/>
          <w:szCs w:val="21"/>
        </w:rPr>
        <w:br w:type="page"/>
      </w:r>
      <w:bookmarkEnd w:id="2"/>
      <w:bookmarkEnd w:id="3"/>
      <w:bookmarkEnd w:id="4"/>
      <w:bookmarkEnd w:id="5"/>
      <w:bookmarkEnd w:id="6"/>
      <w:bookmarkEnd w:id="7"/>
      <w:bookmarkEnd w:id="8"/>
      <w:bookmarkEnd w:id="9"/>
      <w:bookmarkEnd w:id="10"/>
      <w:bookmarkEnd w:id="11"/>
      <w:bookmarkEnd w:id="12"/>
      <w:bookmarkEnd w:id="13"/>
      <w:bookmarkEnd w:id="14"/>
      <w:r>
        <w:rPr>
          <w:rFonts w:hint="eastAsia" w:ascii="宋体" w:hAnsi="宋体"/>
          <w:color w:val="auto"/>
          <w:kern w:val="0"/>
          <w:szCs w:val="21"/>
          <w:lang w:val="en-US" w:eastAsia="zh-CN"/>
        </w:rPr>
        <w:t xml:space="preserve"> </w:t>
      </w:r>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lang w:val="en-US" w:eastAsia="zh-CN"/>
        </w:rPr>
        <w:t>第三章</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5DA39FA9">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eastAsia="zh-CN"/>
        </w:rPr>
      </w:pPr>
      <w:r>
        <w:rPr>
          <w:rFonts w:hint="eastAsia" w:ascii="黑体" w:hAnsi="宋体" w:eastAsia="黑体"/>
          <w:color w:val="auto"/>
          <w:sz w:val="32"/>
          <w:szCs w:val="32"/>
          <w:lang w:val="en-US" w:eastAsia="zh-CN"/>
        </w:rPr>
        <w:t>职业病危害预评价报告书、职业病防护设施设计专篇采购</w:t>
      </w:r>
    </w:p>
    <w:p w14:paraId="358F96AF">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r>
        <w:rPr>
          <w:rFonts w:hint="eastAsia" w:ascii="宋体" w:hAnsi="宋体" w:cs="宋体"/>
          <w:b/>
          <w:bCs/>
          <w:color w:val="auto"/>
          <w:sz w:val="28"/>
          <w:szCs w:val="28"/>
        </w:rPr>
        <w:br w:type="page"/>
      </w:r>
    </w:p>
    <w:p w14:paraId="078365C6">
      <w:pPr>
        <w:kinsoku/>
        <w:overflowPunct/>
        <w:topLinePunct w:val="0"/>
        <w:bidi w:val="0"/>
        <w:ind w:left="0" w:leftChars="0" w:right="0" w:rightChars="0" w:firstLine="562" w:firstLineChars="200"/>
        <w:jc w:val="left"/>
        <w:rPr>
          <w:rFonts w:hint="default" w:ascii="宋体" w:hAnsi="宋体" w:cs="宋体" w:eastAsiaTheme="minorEastAsia"/>
          <w:b/>
          <w:bCs/>
          <w:color w:val="auto"/>
          <w:sz w:val="28"/>
          <w:szCs w:val="28"/>
          <w:lang w:val="en-US" w:eastAsia="zh-CN"/>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cs="宋体"/>
          <w:b/>
          <w:bCs/>
          <w:color w:val="auto"/>
          <w:sz w:val="28"/>
          <w:szCs w:val="28"/>
          <w:lang w:val="en-US" w:eastAsia="zh-CN"/>
        </w:rPr>
        <w:t>营业执照及资质文件</w:t>
      </w:r>
    </w:p>
    <w:p w14:paraId="178998BF">
      <w:pPr>
        <w:widowControl/>
        <w:kinsoku/>
        <w:overflowPunct/>
        <w:topLinePunct w:val="0"/>
        <w:bidi w:val="0"/>
        <w:spacing w:line="360" w:lineRule="auto"/>
        <w:ind w:left="0" w:leftChars="0" w:right="0" w:rightChars="0" w:firstLine="480" w:firstLineChars="200"/>
        <w:rPr>
          <w:rFonts w:ascii="宋体" w:hAnsi="宋体" w:cs="宋体"/>
          <w:color w:val="auto"/>
          <w:sz w:val="24"/>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color w:val="auto"/>
          <w:sz w:val="24"/>
          <w:lang w:val="en-US" w:eastAsia="zh-CN"/>
        </w:rPr>
        <w:t>1、</w:t>
      </w:r>
    </w:p>
    <w:p w14:paraId="7C6ABE72">
      <w:pPr>
        <w:rPr>
          <w:rFonts w:hint="eastAsia" w:ascii="宋体" w:hAnsi="宋体" w:eastAsia="宋体"/>
          <w:b/>
          <w:color w:val="auto"/>
          <w:lang w:val="en-US" w:eastAsia="zh-CN"/>
        </w:rPr>
      </w:pPr>
    </w:p>
    <w:p w14:paraId="79E6E945">
      <w:pPr>
        <w:pStyle w:val="50"/>
        <w:numPr>
          <w:ilvl w:val="0"/>
          <w:numId w:val="1"/>
        </w:numPr>
        <w:kinsoku/>
        <w:overflowPunct/>
        <w:topLinePunct w:val="0"/>
        <w:bidi w:val="0"/>
        <w:spacing w:line="360" w:lineRule="auto"/>
        <w:ind w:left="0" w:leftChars="0" w:right="0" w:rightChars="0" w:firstLine="0" w:firstLineChars="0"/>
        <w:jc w:val="center"/>
        <w:rPr>
          <w:rFonts w:hint="eastAsia" w:ascii="宋体" w:hAnsi="宋体" w:eastAsia="宋体"/>
          <w:b/>
          <w:color w:val="auto"/>
        </w:rPr>
      </w:pPr>
      <w:r>
        <w:rPr>
          <w:rFonts w:hint="eastAsia" w:ascii="宋体" w:hAnsi="宋体" w:eastAsia="宋体"/>
          <w:b/>
          <w:color w:val="auto"/>
        </w:rPr>
        <w:t>报价表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2"/>
        <w:gridCol w:w="3994"/>
        <w:gridCol w:w="1944"/>
        <w:gridCol w:w="1795"/>
        <w:gridCol w:w="2610"/>
      </w:tblGrid>
      <w:tr w14:paraId="21A1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362" w:type="dxa"/>
            <w:shd w:val="clear" w:color="auto" w:fill="auto"/>
            <w:vAlign w:val="center"/>
          </w:tcPr>
          <w:p w14:paraId="0861AA60">
            <w:pPr>
              <w:jc w:val="center"/>
              <w:rPr>
                <w:rFonts w:hint="eastAsia" w:ascii="黑体" w:hAnsi="黑体" w:eastAsia="黑体" w:cstheme="minorBidi"/>
                <w:b/>
                <w:bCs/>
                <w:color w:val="auto"/>
                <w:kern w:val="2"/>
                <w:sz w:val="28"/>
                <w:szCs w:val="28"/>
                <w:lang w:val="en-US" w:eastAsia="zh-CN" w:bidi="ar-SA"/>
              </w:rPr>
            </w:pPr>
            <w:r>
              <w:rPr>
                <w:rFonts w:hint="eastAsia" w:ascii="黑体" w:hAnsi="黑体" w:eastAsia="黑体"/>
                <w:b/>
                <w:bCs/>
                <w:color w:val="auto"/>
                <w:sz w:val="28"/>
                <w:szCs w:val="28"/>
              </w:rPr>
              <w:t>项目名称</w:t>
            </w:r>
          </w:p>
        </w:tc>
        <w:tc>
          <w:tcPr>
            <w:tcW w:w="3994" w:type="dxa"/>
            <w:shd w:val="clear" w:color="auto" w:fill="auto"/>
            <w:vAlign w:val="center"/>
          </w:tcPr>
          <w:p w14:paraId="632301B8">
            <w:pPr>
              <w:jc w:val="center"/>
              <w:rPr>
                <w:rFonts w:hint="eastAsia" w:ascii="黑体" w:hAnsi="黑体" w:eastAsia="黑体" w:cs="黑体"/>
                <w:b/>
                <w:bCs/>
                <w:color w:val="auto"/>
                <w:kern w:val="2"/>
                <w:sz w:val="28"/>
                <w:szCs w:val="28"/>
                <w:lang w:val="en-US" w:eastAsia="zh-CN" w:bidi="ar-SA"/>
              </w:rPr>
            </w:pPr>
            <w:r>
              <w:rPr>
                <w:rFonts w:hint="eastAsia" w:ascii="黑体" w:hAnsi="黑体" w:eastAsia="黑体" w:cs="黑体"/>
                <w:b/>
                <w:bCs/>
                <w:color w:val="auto"/>
                <w:sz w:val="28"/>
                <w:szCs w:val="28"/>
              </w:rPr>
              <w:t>内容</w:t>
            </w:r>
          </w:p>
        </w:tc>
        <w:tc>
          <w:tcPr>
            <w:tcW w:w="1944" w:type="dxa"/>
            <w:shd w:val="clear" w:color="auto" w:fill="auto"/>
            <w:vAlign w:val="center"/>
          </w:tcPr>
          <w:p w14:paraId="67B0B6EB">
            <w:pPr>
              <w:pStyle w:val="52"/>
              <w:spacing w:line="400" w:lineRule="exact"/>
              <w:rPr>
                <w:rFonts w:hint="eastAsia" w:ascii="黑体" w:hAnsi="黑体" w:eastAsia="黑体" w:cs="Arial"/>
                <w:color w:val="auto"/>
                <w:kern w:val="2"/>
                <w:sz w:val="28"/>
                <w:szCs w:val="28"/>
                <w:lang w:val="en-US" w:eastAsia="zh-CN" w:bidi="ar-SA"/>
              </w:rPr>
            </w:pPr>
            <w:r>
              <w:rPr>
                <w:rFonts w:hint="eastAsia" w:ascii="黑体" w:hAnsi="黑体" w:eastAsia="黑体"/>
                <w:color w:val="auto"/>
                <w:sz w:val="28"/>
                <w:szCs w:val="28"/>
              </w:rPr>
              <w:t>总金额</w:t>
            </w:r>
          </w:p>
        </w:tc>
        <w:tc>
          <w:tcPr>
            <w:tcW w:w="1795" w:type="dxa"/>
            <w:shd w:val="clear" w:color="auto" w:fill="auto"/>
            <w:vAlign w:val="center"/>
          </w:tcPr>
          <w:p w14:paraId="0539FA39">
            <w:pPr>
              <w:pStyle w:val="52"/>
              <w:spacing w:line="400" w:lineRule="exact"/>
              <w:rPr>
                <w:rFonts w:hint="eastAsia" w:ascii="黑体" w:hAnsi="黑体" w:eastAsia="黑体"/>
                <w:color w:val="auto"/>
                <w:sz w:val="28"/>
                <w:szCs w:val="28"/>
                <w:lang w:val="en-US" w:eastAsia="zh-CN"/>
              </w:rPr>
            </w:pPr>
            <w:r>
              <w:rPr>
                <w:rFonts w:hint="eastAsia" w:ascii="黑体" w:hAnsi="黑体" w:eastAsia="黑体"/>
                <w:color w:val="auto"/>
                <w:sz w:val="28"/>
                <w:szCs w:val="28"/>
                <w:lang w:val="en-US" w:eastAsia="zh-CN"/>
              </w:rPr>
              <w:t>税率</w:t>
            </w:r>
          </w:p>
        </w:tc>
        <w:tc>
          <w:tcPr>
            <w:tcW w:w="2610" w:type="dxa"/>
            <w:vAlign w:val="center"/>
          </w:tcPr>
          <w:p w14:paraId="191543B5">
            <w:pPr>
              <w:pStyle w:val="52"/>
              <w:spacing w:line="400" w:lineRule="exact"/>
              <w:jc w:val="center"/>
              <w:rPr>
                <w:rFonts w:hint="eastAsia" w:ascii="黑体" w:hAnsi="黑体" w:eastAsia="黑体"/>
                <w:color w:val="auto"/>
                <w:sz w:val="28"/>
                <w:szCs w:val="28"/>
                <w:lang w:val="en-US" w:eastAsia="zh-CN"/>
              </w:rPr>
            </w:pPr>
            <w:r>
              <w:rPr>
                <w:rFonts w:hint="eastAsia" w:ascii="黑体" w:hAnsi="黑体" w:eastAsia="黑体"/>
                <w:color w:val="auto"/>
                <w:sz w:val="28"/>
                <w:szCs w:val="28"/>
                <w:lang w:val="en-US" w:eastAsia="zh-CN"/>
              </w:rPr>
              <w:t>备注</w:t>
            </w:r>
          </w:p>
        </w:tc>
      </w:tr>
      <w:tr w14:paraId="49E3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362" w:type="dxa"/>
            <w:vAlign w:val="center"/>
          </w:tcPr>
          <w:p w14:paraId="3BF9C080">
            <w:pPr>
              <w:pStyle w:val="50"/>
              <w:numPr>
                <w:ilvl w:val="0"/>
                <w:numId w:val="0"/>
              </w:numPr>
              <w:kinsoku/>
              <w:overflowPunct/>
              <w:topLinePunct w:val="0"/>
              <w:bidi w:val="0"/>
              <w:spacing w:line="360" w:lineRule="auto"/>
              <w:ind w:right="0" w:rightChars="0"/>
              <w:jc w:val="center"/>
              <w:rPr>
                <w:rFonts w:hint="eastAsia" w:ascii="宋体" w:hAnsi="宋体" w:eastAsia="宋体"/>
                <w:b/>
                <w:color w:val="auto"/>
                <w:sz w:val="24"/>
                <w:szCs w:val="24"/>
                <w:vertAlign w:val="baseline"/>
              </w:rPr>
            </w:pPr>
            <w:r>
              <w:rPr>
                <w:rFonts w:hint="eastAsia" w:ascii="黑体" w:hAnsi="宋体" w:eastAsia="黑体"/>
                <w:color w:val="auto"/>
                <w:sz w:val="24"/>
                <w:szCs w:val="24"/>
                <w:lang w:val="en-US" w:eastAsia="zh-CN"/>
              </w:rPr>
              <w:t>职业病危害预评价报告书</w:t>
            </w:r>
          </w:p>
        </w:tc>
        <w:tc>
          <w:tcPr>
            <w:tcW w:w="3994" w:type="dxa"/>
          </w:tcPr>
          <w:p w14:paraId="6CB3342C">
            <w:pPr>
              <w:pStyle w:val="50"/>
              <w:numPr>
                <w:ilvl w:val="0"/>
                <w:numId w:val="0"/>
              </w:numPr>
              <w:kinsoku/>
              <w:overflowPunct/>
              <w:topLinePunct w:val="0"/>
              <w:bidi w:val="0"/>
              <w:spacing w:line="360" w:lineRule="auto"/>
              <w:ind w:right="0" w:rightChars="0"/>
              <w:jc w:val="both"/>
              <w:rPr>
                <w:rFonts w:hint="eastAsia" w:ascii="宋体" w:hAnsi="宋体" w:eastAsia="宋体"/>
                <w:b/>
                <w:color w:val="auto"/>
                <w:sz w:val="24"/>
                <w:szCs w:val="24"/>
                <w:vertAlign w:val="baseline"/>
              </w:rPr>
            </w:pPr>
            <w:r>
              <w:rPr>
                <w:rFonts w:hint="eastAsia" w:ascii="黑体" w:hAnsi="宋体" w:eastAsia="黑体"/>
                <w:color w:val="auto"/>
                <w:sz w:val="24"/>
                <w:szCs w:val="24"/>
                <w:lang w:val="en-US" w:eastAsia="zh-CN"/>
              </w:rPr>
              <w:t>编制：120kt/a硫酸装置设备更新及配套余热发电项目《职业病危害预评价报告书》</w:t>
            </w:r>
          </w:p>
        </w:tc>
        <w:tc>
          <w:tcPr>
            <w:tcW w:w="1944" w:type="dxa"/>
            <w:vAlign w:val="center"/>
          </w:tcPr>
          <w:p w14:paraId="00111AA8">
            <w:pPr>
              <w:pStyle w:val="50"/>
              <w:numPr>
                <w:ilvl w:val="0"/>
                <w:numId w:val="0"/>
              </w:numPr>
              <w:kinsoku/>
              <w:overflowPunct/>
              <w:topLinePunct w:val="0"/>
              <w:bidi w:val="0"/>
              <w:spacing w:line="360" w:lineRule="auto"/>
              <w:ind w:right="0" w:rightChars="0"/>
              <w:jc w:val="center"/>
              <w:rPr>
                <w:rFonts w:hint="eastAsia" w:ascii="宋体" w:hAnsi="宋体" w:eastAsia="宋体"/>
                <w:b/>
                <w:color w:val="auto"/>
                <w:sz w:val="24"/>
                <w:szCs w:val="24"/>
                <w:vertAlign w:val="baseline"/>
              </w:rPr>
            </w:pPr>
          </w:p>
        </w:tc>
        <w:tc>
          <w:tcPr>
            <w:tcW w:w="1795" w:type="dxa"/>
            <w:vAlign w:val="center"/>
          </w:tcPr>
          <w:p w14:paraId="73F88558">
            <w:pPr>
              <w:pStyle w:val="50"/>
              <w:numPr>
                <w:ilvl w:val="0"/>
                <w:numId w:val="0"/>
              </w:numPr>
              <w:kinsoku/>
              <w:overflowPunct/>
              <w:topLinePunct w:val="0"/>
              <w:bidi w:val="0"/>
              <w:spacing w:line="360" w:lineRule="auto"/>
              <w:ind w:right="0" w:rightChars="0"/>
              <w:jc w:val="center"/>
              <w:rPr>
                <w:rFonts w:hint="eastAsia" w:ascii="宋体" w:hAnsi="宋体" w:eastAsia="宋体"/>
                <w:b/>
                <w:color w:val="auto"/>
                <w:sz w:val="24"/>
                <w:szCs w:val="24"/>
                <w:vertAlign w:val="baseline"/>
              </w:rPr>
            </w:pPr>
          </w:p>
        </w:tc>
        <w:tc>
          <w:tcPr>
            <w:tcW w:w="2610" w:type="dxa"/>
            <w:vAlign w:val="center"/>
          </w:tcPr>
          <w:p w14:paraId="4BE069F2">
            <w:pPr>
              <w:pStyle w:val="50"/>
              <w:numPr>
                <w:ilvl w:val="0"/>
                <w:numId w:val="0"/>
              </w:numPr>
              <w:kinsoku/>
              <w:overflowPunct/>
              <w:topLinePunct w:val="0"/>
              <w:bidi w:val="0"/>
              <w:spacing w:line="360" w:lineRule="auto"/>
              <w:ind w:right="0" w:rightChars="0"/>
              <w:jc w:val="center"/>
              <w:rPr>
                <w:rFonts w:hint="eastAsia" w:ascii="宋体" w:hAnsi="宋体" w:eastAsia="宋体"/>
                <w:b/>
                <w:color w:val="auto"/>
                <w:sz w:val="24"/>
                <w:szCs w:val="24"/>
                <w:vertAlign w:val="baseline"/>
              </w:rPr>
            </w:pPr>
            <w:r>
              <w:rPr>
                <w:rFonts w:hint="eastAsia" w:ascii="宋体" w:hAnsi="宋体" w:eastAsia="宋体"/>
                <w:b/>
                <w:color w:val="auto"/>
                <w:sz w:val="24"/>
                <w:szCs w:val="24"/>
                <w:vertAlign w:val="baseline"/>
              </w:rPr>
              <w:t>编制</w:t>
            </w:r>
            <w:r>
              <w:rPr>
                <w:rFonts w:hint="eastAsia" w:ascii="黑体" w:hAnsi="宋体" w:eastAsia="黑体"/>
                <w:color w:val="auto"/>
                <w:sz w:val="24"/>
                <w:szCs w:val="24"/>
                <w:lang w:val="en-US" w:eastAsia="zh-CN"/>
              </w:rPr>
              <w:t>职业病危害预评价报告书</w:t>
            </w:r>
            <w:r>
              <w:rPr>
                <w:rFonts w:hint="eastAsia" w:ascii="宋体" w:hAnsi="宋体" w:eastAsia="宋体"/>
                <w:b/>
                <w:color w:val="auto"/>
                <w:sz w:val="24"/>
                <w:szCs w:val="24"/>
                <w:vertAlign w:val="baseline"/>
              </w:rPr>
              <w:t>，并通过评审</w:t>
            </w:r>
          </w:p>
        </w:tc>
      </w:tr>
      <w:tr w14:paraId="6FEE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362" w:type="dxa"/>
            <w:vAlign w:val="center"/>
          </w:tcPr>
          <w:p w14:paraId="70225B67">
            <w:pPr>
              <w:pStyle w:val="50"/>
              <w:numPr>
                <w:ilvl w:val="0"/>
                <w:numId w:val="0"/>
              </w:numPr>
              <w:kinsoku/>
              <w:overflowPunct/>
              <w:topLinePunct w:val="0"/>
              <w:bidi w:val="0"/>
              <w:spacing w:line="360" w:lineRule="auto"/>
              <w:ind w:right="0" w:rightChars="0"/>
              <w:jc w:val="center"/>
              <w:rPr>
                <w:rFonts w:hint="eastAsia" w:ascii="黑体" w:hAnsi="宋体" w:eastAsia="黑体"/>
                <w:color w:val="auto"/>
                <w:sz w:val="24"/>
                <w:szCs w:val="24"/>
                <w:lang w:val="en-US" w:eastAsia="zh-CN"/>
              </w:rPr>
            </w:pPr>
            <w:r>
              <w:rPr>
                <w:rFonts w:hint="eastAsia" w:ascii="黑体" w:hAnsi="宋体" w:eastAsia="黑体"/>
                <w:color w:val="auto"/>
                <w:sz w:val="24"/>
                <w:szCs w:val="24"/>
                <w:lang w:val="en-US" w:eastAsia="zh-CN"/>
              </w:rPr>
              <w:t>职业病防护设施设计专篇</w:t>
            </w:r>
          </w:p>
        </w:tc>
        <w:tc>
          <w:tcPr>
            <w:tcW w:w="3994" w:type="dxa"/>
          </w:tcPr>
          <w:p w14:paraId="6EC1BD96">
            <w:pPr>
              <w:pStyle w:val="50"/>
              <w:numPr>
                <w:ilvl w:val="0"/>
                <w:numId w:val="0"/>
              </w:numPr>
              <w:kinsoku/>
              <w:overflowPunct/>
              <w:topLinePunct w:val="0"/>
              <w:bidi w:val="0"/>
              <w:spacing w:line="360" w:lineRule="auto"/>
              <w:ind w:right="0" w:rightChars="0"/>
              <w:jc w:val="both"/>
              <w:rPr>
                <w:rFonts w:hint="eastAsia" w:ascii="黑体" w:hAnsi="宋体" w:eastAsia="黑体"/>
                <w:color w:val="auto"/>
                <w:sz w:val="24"/>
                <w:szCs w:val="24"/>
                <w:lang w:val="en-US" w:eastAsia="zh-CN"/>
              </w:rPr>
            </w:pPr>
            <w:r>
              <w:rPr>
                <w:rFonts w:hint="eastAsia" w:ascii="黑体" w:hAnsi="宋体" w:eastAsia="黑体"/>
                <w:color w:val="auto"/>
                <w:sz w:val="24"/>
                <w:szCs w:val="24"/>
                <w:lang w:val="en-US" w:eastAsia="zh-CN"/>
              </w:rPr>
              <w:t>编制：120kt/a硫酸装置设备更新及配套余热发电项目《职业病防护设施设计专篇》</w:t>
            </w:r>
          </w:p>
        </w:tc>
        <w:tc>
          <w:tcPr>
            <w:tcW w:w="1944" w:type="dxa"/>
            <w:vAlign w:val="center"/>
          </w:tcPr>
          <w:p w14:paraId="7067659C">
            <w:pPr>
              <w:pStyle w:val="50"/>
              <w:numPr>
                <w:ilvl w:val="0"/>
                <w:numId w:val="0"/>
              </w:numPr>
              <w:kinsoku/>
              <w:overflowPunct/>
              <w:topLinePunct w:val="0"/>
              <w:bidi w:val="0"/>
              <w:spacing w:line="360" w:lineRule="auto"/>
              <w:ind w:right="0" w:rightChars="0"/>
              <w:jc w:val="center"/>
              <w:rPr>
                <w:rFonts w:hint="eastAsia" w:ascii="宋体" w:hAnsi="宋体" w:eastAsia="宋体"/>
                <w:b/>
                <w:color w:val="auto"/>
                <w:sz w:val="24"/>
                <w:szCs w:val="24"/>
                <w:vertAlign w:val="baseline"/>
              </w:rPr>
            </w:pPr>
          </w:p>
        </w:tc>
        <w:tc>
          <w:tcPr>
            <w:tcW w:w="1795" w:type="dxa"/>
            <w:vAlign w:val="center"/>
          </w:tcPr>
          <w:p w14:paraId="060FC370">
            <w:pPr>
              <w:pStyle w:val="50"/>
              <w:numPr>
                <w:ilvl w:val="0"/>
                <w:numId w:val="0"/>
              </w:numPr>
              <w:kinsoku/>
              <w:overflowPunct/>
              <w:topLinePunct w:val="0"/>
              <w:bidi w:val="0"/>
              <w:spacing w:line="360" w:lineRule="auto"/>
              <w:ind w:right="0" w:rightChars="0"/>
              <w:jc w:val="center"/>
              <w:rPr>
                <w:rFonts w:hint="eastAsia" w:ascii="宋体" w:hAnsi="宋体" w:eastAsia="宋体"/>
                <w:b/>
                <w:color w:val="auto"/>
                <w:sz w:val="24"/>
                <w:szCs w:val="24"/>
                <w:vertAlign w:val="baseline"/>
              </w:rPr>
            </w:pPr>
          </w:p>
        </w:tc>
        <w:tc>
          <w:tcPr>
            <w:tcW w:w="2610" w:type="dxa"/>
            <w:vAlign w:val="center"/>
          </w:tcPr>
          <w:p w14:paraId="6FCC2544">
            <w:pPr>
              <w:pStyle w:val="50"/>
              <w:numPr>
                <w:ilvl w:val="0"/>
                <w:numId w:val="0"/>
              </w:numPr>
              <w:kinsoku/>
              <w:overflowPunct/>
              <w:topLinePunct w:val="0"/>
              <w:bidi w:val="0"/>
              <w:spacing w:line="360" w:lineRule="auto"/>
              <w:ind w:right="0" w:rightChars="0"/>
              <w:jc w:val="center"/>
              <w:rPr>
                <w:rFonts w:hint="eastAsia" w:ascii="宋体" w:hAnsi="宋体" w:eastAsia="宋体"/>
                <w:b/>
                <w:color w:val="auto"/>
                <w:sz w:val="24"/>
                <w:szCs w:val="24"/>
                <w:vertAlign w:val="baseline"/>
              </w:rPr>
            </w:pPr>
            <w:r>
              <w:rPr>
                <w:rFonts w:hint="eastAsia" w:ascii="宋体" w:hAnsi="宋体" w:eastAsia="宋体"/>
                <w:b/>
                <w:color w:val="auto"/>
                <w:sz w:val="24"/>
                <w:szCs w:val="24"/>
                <w:vertAlign w:val="baseline"/>
              </w:rPr>
              <w:t>编制</w:t>
            </w:r>
            <w:r>
              <w:rPr>
                <w:rFonts w:hint="eastAsia" w:ascii="黑体" w:hAnsi="宋体" w:eastAsia="黑体"/>
                <w:color w:val="auto"/>
                <w:sz w:val="24"/>
                <w:szCs w:val="24"/>
                <w:lang w:val="en-US" w:eastAsia="zh-CN"/>
              </w:rPr>
              <w:t>职业病防护设施设计专篇</w:t>
            </w:r>
            <w:r>
              <w:rPr>
                <w:rFonts w:hint="eastAsia" w:ascii="宋体" w:hAnsi="宋体" w:eastAsia="宋体"/>
                <w:b/>
                <w:color w:val="auto"/>
                <w:sz w:val="24"/>
                <w:szCs w:val="24"/>
                <w:vertAlign w:val="baseline"/>
              </w:rPr>
              <w:t>，并通过评审</w:t>
            </w:r>
          </w:p>
        </w:tc>
      </w:tr>
    </w:tbl>
    <w:p w14:paraId="24FB7A34">
      <w:pPr>
        <w:pStyle w:val="50"/>
        <w:numPr>
          <w:ilvl w:val="0"/>
          <w:numId w:val="0"/>
        </w:numPr>
        <w:kinsoku/>
        <w:overflowPunct/>
        <w:topLinePunct w:val="0"/>
        <w:bidi w:val="0"/>
        <w:spacing w:line="360" w:lineRule="auto"/>
        <w:ind w:leftChars="0" w:right="0" w:rightChars="0"/>
        <w:jc w:val="both"/>
        <w:rPr>
          <w:rFonts w:hint="eastAsia" w:ascii="宋体" w:hAnsi="宋体" w:eastAsia="宋体"/>
          <w:b/>
          <w:color w:val="auto"/>
        </w:rPr>
      </w:pPr>
    </w:p>
    <w:p w14:paraId="1541407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p w14:paraId="6D5AF54D">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103DA0A2">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p>
    <w:p w14:paraId="26BBE0D1">
      <w:pPr>
        <w:tabs>
          <w:tab w:val="left" w:pos="6120"/>
          <w:tab w:val="left" w:pos="6510"/>
          <w:tab w:val="left" w:pos="12495"/>
        </w:tabs>
        <w:kinsoku/>
        <w:overflowPunct/>
        <w:topLinePunct w:val="0"/>
        <w:bidi w:val="0"/>
        <w:spacing w:line="360" w:lineRule="auto"/>
        <w:ind w:right="0" w:rightChars="0"/>
        <w:jc w:val="left"/>
        <w:rPr>
          <w:rFonts w:hint="default" w:ascii="宋体" w:hAnsi="宋体" w:eastAsiaTheme="minorEastAsia"/>
          <w:color w:val="auto"/>
          <w:szCs w:val="21"/>
          <w:lang w:val="en-US" w:eastAsia="zh-CN"/>
        </w:rPr>
      </w:pPr>
      <w:r>
        <w:rPr>
          <w:rFonts w:hint="eastAsia" w:ascii="宋体" w:hAnsi="宋体"/>
          <w:color w:val="auto"/>
          <w:szCs w:val="21"/>
          <w:lang w:val="en-US" w:eastAsia="zh-CN"/>
        </w:rPr>
        <w:t>联系人及电话：</w:t>
      </w:r>
    </w:p>
    <w:p w14:paraId="6CC58E74">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pgSz w:w="16838" w:h="11906" w:orient="landscape"/>
          <w:pgMar w:top="1191" w:right="1440" w:bottom="1191" w:left="1440" w:header="851" w:footer="992" w:gutter="0"/>
          <w:pgNumType w:start="0"/>
          <w:cols w:space="720" w:num="1"/>
          <w:titlePg/>
          <w:docGrid w:type="lines" w:linePitch="312" w:charSpace="0"/>
        </w:sectPr>
      </w:pPr>
      <w:r>
        <w:rPr>
          <w:rFonts w:hint="eastAsia" w:ascii="宋体" w:hAnsi="宋体"/>
          <w:color w:val="auto"/>
          <w:szCs w:val="21"/>
        </w:rPr>
        <w:t xml:space="preserve">                    </w:t>
      </w:r>
    </w:p>
    <w:p w14:paraId="0AD431EA">
      <w:pPr>
        <w:rPr>
          <w:rFonts w:hint="eastAsia" w:ascii="宋体" w:hAnsi="宋体" w:eastAsiaTheme="minorEastAsia" w:cstheme="minorBidi"/>
          <w:color w:val="auto"/>
          <w:kern w:val="2"/>
          <w:sz w:val="21"/>
          <w:szCs w:val="21"/>
          <w:lang w:val="en-US" w:eastAsia="zh-CN" w:bidi="ar-SA"/>
        </w:rPr>
      </w:pPr>
    </w:p>
    <w:p w14:paraId="303BD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2E7211">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eastAsiaTheme="minorEastAsia" w:cstheme="minorBidi"/>
          <w:color w:val="auto"/>
          <w:kern w:val="2"/>
          <w:sz w:val="21"/>
          <w:szCs w:val="21"/>
          <w:lang w:val="en-US" w:eastAsia="zh-CN" w:bidi="ar-SA"/>
        </w:rPr>
        <w:t>服务</w:t>
      </w:r>
      <w:r>
        <w:rPr>
          <w:rFonts w:hint="eastAsia" w:ascii="宋体" w:hAnsi="宋体" w:eastAsiaTheme="minorEastAsia" w:cstheme="minorBidi"/>
          <w:color w:val="auto"/>
          <w:kern w:val="2"/>
          <w:sz w:val="21"/>
          <w:szCs w:val="21"/>
          <w:lang w:val="en-US" w:eastAsia="zh-CN" w:bidi="ar-SA"/>
        </w:rPr>
        <w:t xml:space="preserve">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70BF42B">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35"/>
        <w:spacing w:before="120" w:line="480" w:lineRule="exact"/>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eastAsiaTheme="minorEastAsia" w:cstheme="minorBidi"/>
          <w:color w:val="auto"/>
          <w:kern w:val="2"/>
          <w:sz w:val="21"/>
          <w:szCs w:val="21"/>
          <w:lang w:val="en-US" w:eastAsia="zh-CN" w:bidi="ar-SA"/>
        </w:rPr>
        <w:t>费用包括报告编制费、劳务费、监测费、</w:t>
      </w:r>
      <w:r>
        <w:rPr>
          <w:rFonts w:hint="eastAsia" w:eastAsiaTheme="minorEastAsia" w:cstheme="minorBidi"/>
          <w:color w:val="auto"/>
          <w:kern w:val="2"/>
          <w:sz w:val="21"/>
          <w:szCs w:val="21"/>
          <w:lang w:val="en-US" w:eastAsia="zh-CN" w:bidi="ar-SA"/>
        </w:rPr>
        <w:t>专家</w:t>
      </w:r>
      <w:r>
        <w:rPr>
          <w:rFonts w:hint="eastAsia" w:ascii="宋体" w:hAnsi="宋体" w:eastAsiaTheme="minorEastAsia" w:cstheme="minorBidi"/>
          <w:color w:val="auto"/>
          <w:kern w:val="2"/>
          <w:sz w:val="21"/>
          <w:szCs w:val="21"/>
          <w:lang w:val="en-US" w:eastAsia="zh-CN" w:bidi="ar-SA"/>
        </w:rPr>
        <w:t>评审费和税费等为完成</w:t>
      </w:r>
      <w:bookmarkStart w:id="15" w:name="_GoBack"/>
      <w:bookmarkEnd w:id="15"/>
      <w:r>
        <w:rPr>
          <w:rFonts w:hint="eastAsia" w:ascii="宋体" w:hAnsi="宋体" w:eastAsiaTheme="minorEastAsia" w:cstheme="minorBidi"/>
          <w:color w:val="auto"/>
          <w:kern w:val="2"/>
          <w:sz w:val="21"/>
          <w:szCs w:val="21"/>
          <w:lang w:val="en-US" w:eastAsia="zh-CN" w:bidi="ar-SA"/>
        </w:rPr>
        <w:t>报告的所有费用。</w:t>
      </w:r>
      <w:r>
        <w:rPr>
          <w:rFonts w:hint="eastAsia"/>
          <w:color w:val="auto"/>
        </w:rPr>
        <w:t xml:space="preserve">                                                   </w:t>
      </w:r>
    </w:p>
    <w:p w14:paraId="4AA23DCC">
      <w:pPr>
        <w:widowControl/>
        <w:kinsoku/>
        <w:overflowPunct/>
        <w:topLinePunct w:val="0"/>
        <w:bidi w:val="0"/>
        <w:spacing w:line="360" w:lineRule="auto"/>
        <w:ind w:left="0" w:leftChars="0" w:right="0" w:rightChars="0" w:firstLine="420" w:firstLineChars="200"/>
        <w:rPr>
          <w:rFonts w:hint="eastAsia"/>
          <w:color w:val="auto"/>
        </w:rPr>
      </w:pPr>
    </w:p>
    <w:p w14:paraId="61C0E6FA">
      <w:pPr>
        <w:kinsoku/>
        <w:overflowPunct/>
        <w:topLinePunct w:val="0"/>
        <w:bidi w:val="0"/>
        <w:spacing w:line="360" w:lineRule="auto"/>
        <w:ind w:left="0" w:leftChars="0" w:right="0" w:rightChars="0" w:firstLine="562" w:firstLineChars="200"/>
        <w:jc w:val="center"/>
        <w:rPr>
          <w:rFonts w:hint="eastAsia" w:ascii="宋体" w:hAnsi="宋体"/>
          <w:b/>
          <w:color w:val="auto"/>
          <w:sz w:val="28"/>
        </w:rPr>
      </w:pPr>
      <w:r>
        <w:rPr>
          <w:rFonts w:hint="eastAsia" w:ascii="宋体" w:hAnsi="宋体" w:cs="宋体"/>
          <w:b/>
          <w:bCs/>
          <w:color w:val="auto"/>
          <w:sz w:val="28"/>
          <w:szCs w:val="28"/>
          <w:lang w:val="en-US" w:eastAsia="zh-CN"/>
        </w:rPr>
        <w:t>四</w:t>
      </w:r>
      <w:r>
        <w:rPr>
          <w:rFonts w:hint="eastAsia" w:ascii="宋体" w:hAnsi="宋体" w:cs="宋体"/>
          <w:b/>
          <w:bCs/>
          <w:color w:val="auto"/>
          <w:sz w:val="28"/>
          <w:szCs w:val="28"/>
        </w:rPr>
        <w:t>、</w:t>
      </w:r>
      <w:r>
        <w:rPr>
          <w:rFonts w:hint="eastAsia" w:ascii="宋体" w:hAnsi="宋体"/>
          <w:b/>
          <w:color w:val="auto"/>
          <w:sz w:val="28"/>
        </w:rPr>
        <w:t>承 诺</w:t>
      </w:r>
    </w:p>
    <w:p w14:paraId="02A9A41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3DDA4667">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服务</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484CA71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w:t>
      </w:r>
      <w:r>
        <w:rPr>
          <w:rFonts w:hint="eastAsia" w:ascii="宋体" w:hAnsi="宋体"/>
          <w:color w:val="auto"/>
          <w:lang w:val="en-US" w:eastAsia="zh-CN"/>
        </w:rPr>
        <w:t>服务</w:t>
      </w:r>
      <w:r>
        <w:rPr>
          <w:rFonts w:hint="eastAsia" w:ascii="宋体" w:hAnsi="宋体"/>
          <w:color w:val="auto"/>
        </w:rPr>
        <w:t>符合国家要求；</w:t>
      </w:r>
    </w:p>
    <w:p w14:paraId="3315052B">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0DD2A87D">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66D3D83">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0E8DAA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72C4A8E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一旦我方中标，愿意按照招标文件和招标人的规定和要求签订购销合同，并信守合同、保证质量、如期完成。</w:t>
      </w:r>
    </w:p>
    <w:p w14:paraId="73F280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4F8309E">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445FEA4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56DE0C5A">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FF80B05">
      <w:pPr>
        <w:kinsoku/>
        <w:overflowPunct/>
        <w:topLinePunct w:val="0"/>
        <w:bidi w:val="0"/>
        <w:spacing w:line="360" w:lineRule="auto"/>
        <w:ind w:left="0" w:leftChars="0" w:right="0" w:rightChars="0" w:firstLine="4200" w:firstLineChars="2000"/>
        <w:rPr>
          <w:color w:val="auto"/>
          <w:lang w:val="en-US" w:eastAsia="zh-CN"/>
        </w:rPr>
        <w:sectPr>
          <w:pgSz w:w="11906" w:h="16838"/>
          <w:pgMar w:top="1361" w:right="1134" w:bottom="1361" w:left="1134" w:header="851" w:footer="992" w:gutter="0"/>
          <w:pgNumType w:fmt="decimal"/>
          <w:cols w:space="0" w:num="1"/>
          <w:rtlGutter w:val="0"/>
          <w:docGrid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2316C6D9">
      <w:pPr>
        <w:spacing w:line="360" w:lineRule="exact"/>
        <w:rPr>
          <w:rFonts w:hint="eastAsia" w:ascii="黑体" w:hAnsi="黑体" w:eastAsia="黑体" w:cs="宋体"/>
          <w:b/>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0"/>
      </w:rPr>
    </w:pPr>
    <w:r>
      <w:fldChar w:fldCharType="begin"/>
    </w:r>
    <w:r>
      <w:rPr>
        <w:rStyle w:val="20"/>
      </w:rPr>
      <w:instrText xml:space="preserve">PAGE  </w:instrText>
    </w:r>
    <w:r>
      <w:fldChar w:fldCharType="end"/>
    </w:r>
  </w:p>
  <w:p w14:paraId="4F0F150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FFB4DD"/>
    <w:multiLevelType w:val="singleLevel"/>
    <w:tmpl w:val="3EFFB4DD"/>
    <w:lvl w:ilvl="0" w:tentative="0">
      <w:start w:val="5"/>
      <w:numFmt w:val="decimal"/>
      <w:lvlText w:val="%1."/>
      <w:lvlJc w:val="left"/>
      <w:pPr>
        <w:tabs>
          <w:tab w:val="left" w:pos="312"/>
        </w:tabs>
      </w:pPr>
    </w:lvl>
  </w:abstractNum>
  <w:abstractNum w:abstractNumId="1">
    <w:nsid w:val="45612F23"/>
    <w:multiLevelType w:val="singleLevel"/>
    <w:tmpl w:val="45612F2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3200"/>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BBB617C"/>
    <w:rsid w:val="0C5F0F6E"/>
    <w:rsid w:val="0D004BE0"/>
    <w:rsid w:val="0D6635DC"/>
    <w:rsid w:val="0EC51CF1"/>
    <w:rsid w:val="0F783207"/>
    <w:rsid w:val="0F797A29"/>
    <w:rsid w:val="0FBB34F5"/>
    <w:rsid w:val="0FFD54BA"/>
    <w:rsid w:val="10525110"/>
    <w:rsid w:val="10F838E5"/>
    <w:rsid w:val="110E7C3C"/>
    <w:rsid w:val="120F5BA7"/>
    <w:rsid w:val="1235718D"/>
    <w:rsid w:val="128A3A09"/>
    <w:rsid w:val="12A6008B"/>
    <w:rsid w:val="12D009A7"/>
    <w:rsid w:val="13C54541"/>
    <w:rsid w:val="14676D7E"/>
    <w:rsid w:val="15916DD0"/>
    <w:rsid w:val="16413351"/>
    <w:rsid w:val="164E090F"/>
    <w:rsid w:val="16520C80"/>
    <w:rsid w:val="16937390"/>
    <w:rsid w:val="172F5937"/>
    <w:rsid w:val="17660053"/>
    <w:rsid w:val="177C482D"/>
    <w:rsid w:val="190E59FE"/>
    <w:rsid w:val="19393A07"/>
    <w:rsid w:val="1A294B27"/>
    <w:rsid w:val="1A683441"/>
    <w:rsid w:val="1BBE258B"/>
    <w:rsid w:val="1C4C57FF"/>
    <w:rsid w:val="1D64697C"/>
    <w:rsid w:val="1DD969AB"/>
    <w:rsid w:val="1ED14404"/>
    <w:rsid w:val="1EF74148"/>
    <w:rsid w:val="1FA15E62"/>
    <w:rsid w:val="1FDB7383"/>
    <w:rsid w:val="20A629C0"/>
    <w:rsid w:val="20A81398"/>
    <w:rsid w:val="21196F94"/>
    <w:rsid w:val="21263865"/>
    <w:rsid w:val="213571AA"/>
    <w:rsid w:val="217D645B"/>
    <w:rsid w:val="21843C8D"/>
    <w:rsid w:val="21F13065"/>
    <w:rsid w:val="22A07CA6"/>
    <w:rsid w:val="237F15B6"/>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612895"/>
    <w:rsid w:val="2C672453"/>
    <w:rsid w:val="2EC03E0B"/>
    <w:rsid w:val="2EE64169"/>
    <w:rsid w:val="300E355A"/>
    <w:rsid w:val="30337F16"/>
    <w:rsid w:val="30464A25"/>
    <w:rsid w:val="3082583C"/>
    <w:rsid w:val="31A45B7D"/>
    <w:rsid w:val="31A5035D"/>
    <w:rsid w:val="32C311AC"/>
    <w:rsid w:val="33980AB1"/>
    <w:rsid w:val="344A7D4E"/>
    <w:rsid w:val="347D19AD"/>
    <w:rsid w:val="34C32719"/>
    <w:rsid w:val="34E44129"/>
    <w:rsid w:val="34E65643"/>
    <w:rsid w:val="3539753D"/>
    <w:rsid w:val="35771A99"/>
    <w:rsid w:val="361436EF"/>
    <w:rsid w:val="363D49D0"/>
    <w:rsid w:val="36481456"/>
    <w:rsid w:val="371A057C"/>
    <w:rsid w:val="37296A11"/>
    <w:rsid w:val="388861A3"/>
    <w:rsid w:val="38DC340E"/>
    <w:rsid w:val="3A801D52"/>
    <w:rsid w:val="3ABF1B60"/>
    <w:rsid w:val="3B10121D"/>
    <w:rsid w:val="3BA23F27"/>
    <w:rsid w:val="3BB75F0B"/>
    <w:rsid w:val="3BF62074"/>
    <w:rsid w:val="3C904E0A"/>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F46EAE"/>
    <w:rsid w:val="48724017"/>
    <w:rsid w:val="48750F6C"/>
    <w:rsid w:val="48790C33"/>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132524"/>
    <w:rsid w:val="52884ADC"/>
    <w:rsid w:val="52A80CDA"/>
    <w:rsid w:val="533212A1"/>
    <w:rsid w:val="53EE72C6"/>
    <w:rsid w:val="54887ACF"/>
    <w:rsid w:val="548B2661"/>
    <w:rsid w:val="54AA722A"/>
    <w:rsid w:val="55BE4F5F"/>
    <w:rsid w:val="55E22755"/>
    <w:rsid w:val="563033D2"/>
    <w:rsid w:val="57193C9E"/>
    <w:rsid w:val="57541431"/>
    <w:rsid w:val="576C2775"/>
    <w:rsid w:val="586048F0"/>
    <w:rsid w:val="588549CE"/>
    <w:rsid w:val="58AE7DA1"/>
    <w:rsid w:val="58DD7D9A"/>
    <w:rsid w:val="59AD4E28"/>
    <w:rsid w:val="5B1D65E8"/>
    <w:rsid w:val="5C8C341B"/>
    <w:rsid w:val="5D2F2B1E"/>
    <w:rsid w:val="5DEF5A0F"/>
    <w:rsid w:val="5DF72B16"/>
    <w:rsid w:val="5ECA3D86"/>
    <w:rsid w:val="5F4D50E3"/>
    <w:rsid w:val="60303C60"/>
    <w:rsid w:val="61E15FB7"/>
    <w:rsid w:val="626B0ACC"/>
    <w:rsid w:val="626F728B"/>
    <w:rsid w:val="62745837"/>
    <w:rsid w:val="62A42563"/>
    <w:rsid w:val="63210307"/>
    <w:rsid w:val="633B16F7"/>
    <w:rsid w:val="63613BBD"/>
    <w:rsid w:val="64132ACB"/>
    <w:rsid w:val="644F1AB3"/>
    <w:rsid w:val="652B76D6"/>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D4756D"/>
    <w:rsid w:val="75E36E5B"/>
    <w:rsid w:val="775744D2"/>
    <w:rsid w:val="77E24ED1"/>
    <w:rsid w:val="789E730E"/>
    <w:rsid w:val="79042BD4"/>
    <w:rsid w:val="7A450456"/>
    <w:rsid w:val="7AC516D6"/>
    <w:rsid w:val="7B364A8F"/>
    <w:rsid w:val="7BBE5F26"/>
    <w:rsid w:val="7BDF3F9B"/>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52">
    <w:name w:val="p18"/>
    <w:basedOn w:val="1"/>
    <w:qFormat/>
    <w:uiPriority w:val="0"/>
    <w:pPr>
      <w:widowControl/>
      <w:spacing w:line="400" w:lineRule="atLeast"/>
      <w:jc w:val="center"/>
    </w:pPr>
    <w:rPr>
      <w:rFonts w:ascii="Arial" w:hAnsi="Arial" w:cs="Arial"/>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1929</Words>
  <Characters>2079</Characters>
  <Lines>16</Lines>
  <Paragraphs>4</Paragraphs>
  <TotalTime>8</TotalTime>
  <ScaleCrop>false</ScaleCrop>
  <LinksUpToDate>false</LinksUpToDate>
  <CharactersWithSpaces>2720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程康</cp:lastModifiedBy>
  <dcterms:modified xsi:type="dcterms:W3CDTF">2025-07-31T09:38:20Z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eyJoZGlkIjoiMzEwNTM5NzYwMDRjMzkwZTVkZjY2ODkwMGIxNGU0OTUiLCJ1c2VySWQiOiIzNzU4NzkwNDkifQ==</vt:lpwstr>
  </property>
  <property fmtid="{D5CDD505-2E9C-101B-9397-08002B2CF9AE}" pid="3" name="KSOProductBuildVer">
    <vt:lpwstr>2052-12.1.0.21915</vt:lpwstr>
  </property>
  <property fmtid="{D5CDD505-2E9C-101B-9397-08002B2CF9AE}" pid="4" name="ICV">
    <vt:lpwstr>638278A91B6247A3A14F33886A0DB3EB_13</vt:lpwstr>
  </property>
</Properties>
</file>