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5A5EB">
      <w:pPr>
        <w:snapToGrid w:val="0"/>
        <w:spacing w:line="360" w:lineRule="auto"/>
        <w:jc w:val="center"/>
        <w:rPr>
          <w:rFonts w:hint="default" w:ascii="黑体" w:hAnsi="黑体" w:eastAsia="黑体" w:cs="黑体"/>
          <w:b/>
          <w:bCs/>
          <w:sz w:val="32"/>
          <w:szCs w:val="32"/>
          <w:lang w:val="en-US" w:eastAsia="zh-CN"/>
        </w:rPr>
      </w:pPr>
      <w:bookmarkStart w:id="0" w:name="OLE_LINK4"/>
      <w:bookmarkStart w:id="1" w:name="OLE_LINK3"/>
      <w:bookmarkStart w:id="2" w:name="OLE_LINK2"/>
      <w:bookmarkStart w:id="3" w:name="OLE_LINK1"/>
      <w:r>
        <w:rPr>
          <w:rFonts w:hint="eastAsia" w:ascii="黑体" w:hAnsi="黑体" w:eastAsia="黑体" w:cs="黑体"/>
          <w:b/>
          <w:bCs/>
          <w:sz w:val="32"/>
          <w:szCs w:val="32"/>
          <w:lang w:val="en-US" w:eastAsia="zh-CN"/>
        </w:rPr>
        <w:t>什邡磷化工分公司工业硫酸运输</w:t>
      </w:r>
    </w:p>
    <w:p w14:paraId="6F8C38DF">
      <w:pPr>
        <w:snapToGrid w:val="0"/>
        <w:spacing w:line="360" w:lineRule="auto"/>
        <w:jc w:val="center"/>
        <w:rPr>
          <w:rFonts w:hint="default" w:ascii="黑体" w:hAnsi="黑体" w:eastAsia="黑体" w:cs="黑体"/>
          <w:b/>
          <w:bCs/>
          <w:sz w:val="32"/>
          <w:szCs w:val="32"/>
          <w:lang w:val="en-US" w:eastAsia="zh-CN"/>
        </w:rPr>
      </w:pPr>
      <w:bookmarkStart w:id="5" w:name="_GoBack"/>
      <w:bookmarkEnd w:id="5"/>
      <w:r>
        <w:rPr>
          <w:rFonts w:hint="eastAsia" w:ascii="黑体" w:hAnsi="黑体" w:eastAsia="黑体" w:cs="黑体"/>
          <w:b/>
          <w:bCs/>
          <w:sz w:val="32"/>
          <w:szCs w:val="32"/>
          <w:lang w:val="en-US" w:eastAsia="zh-CN"/>
        </w:rPr>
        <w:t>公开比选</w:t>
      </w:r>
    </w:p>
    <w:p w14:paraId="7F600628">
      <w:pPr>
        <w:pStyle w:val="21"/>
        <w:ind w:firstLine="5520" w:firstLineChars="2300"/>
        <w:rPr>
          <w:rFonts w:hint="default" w:cs="黑体" w:asciiTheme="minorEastAsia" w:hAnsiTheme="minorEastAsia" w:eastAsiaTheme="minorEastAsia"/>
          <w:sz w:val="24"/>
          <w:szCs w:val="24"/>
          <w:lang w:val="en-US" w:eastAsia="zh-CN" w:bidi="ar-SA"/>
        </w:rPr>
      </w:pPr>
      <w:r>
        <w:rPr>
          <w:rFonts w:hint="eastAsia" w:cs="黑体" w:asciiTheme="minorEastAsia" w:hAnsiTheme="minorEastAsia" w:eastAsiaTheme="minorEastAsia"/>
          <w:sz w:val="24"/>
          <w:szCs w:val="24"/>
          <w:lang w:eastAsia="zh-CN"/>
        </w:rPr>
        <w:t>编号：</w:t>
      </w:r>
      <w:r>
        <w:rPr>
          <w:rFonts w:hint="eastAsia" w:cs="黑体" w:asciiTheme="minorEastAsia" w:hAnsiTheme="minorEastAsia" w:eastAsiaTheme="minorEastAsia"/>
          <w:sz w:val="24"/>
          <w:szCs w:val="24"/>
          <w:lang w:val="en-US" w:eastAsia="zh-CN"/>
        </w:rPr>
        <w:t>SFLHG</w:t>
      </w:r>
      <w:r>
        <w:rPr>
          <w:rFonts w:hint="eastAsia" w:cs="黑体" w:asciiTheme="minorEastAsia" w:hAnsiTheme="minorEastAsia" w:eastAsiaTheme="minorEastAsia"/>
          <w:sz w:val="24"/>
          <w:szCs w:val="24"/>
          <w:lang w:val="en-US" w:eastAsia="zh-CN" w:bidi="ar-SA"/>
        </w:rPr>
        <w:t>-GKBX-2025-FW001</w:t>
      </w:r>
    </w:p>
    <w:p w14:paraId="3582846D">
      <w:pPr>
        <w:keepNext w:val="0"/>
        <w:keepLines w:val="0"/>
        <w:pageBreakBefore w:val="0"/>
        <w:kinsoku/>
        <w:overflowPunct/>
        <w:topLinePunct w:val="0"/>
        <w:bidi w:val="0"/>
        <w:adjustRightInd/>
        <w:snapToGrid w:val="0"/>
        <w:spacing w:line="440" w:lineRule="exact"/>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各</w:t>
      </w:r>
      <w:r>
        <w:rPr>
          <w:rFonts w:hint="eastAsia" w:cs="黑体" w:asciiTheme="minorEastAsia" w:hAnsiTheme="minorEastAsia" w:eastAsiaTheme="minorEastAsia"/>
          <w:sz w:val="24"/>
          <w:szCs w:val="24"/>
          <w:lang w:val="en-US" w:eastAsia="zh-CN"/>
        </w:rPr>
        <w:t>运输</w:t>
      </w:r>
      <w:r>
        <w:rPr>
          <w:rFonts w:hint="eastAsia" w:cs="黑体" w:asciiTheme="minorEastAsia" w:hAnsiTheme="minorEastAsia" w:eastAsiaTheme="minorEastAsia"/>
          <w:sz w:val="24"/>
          <w:szCs w:val="24"/>
          <w:lang w:eastAsia="zh-CN"/>
        </w:rPr>
        <w:t>商：</w:t>
      </w:r>
    </w:p>
    <w:p w14:paraId="544D52C0">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eastAsia="zh-CN"/>
        </w:rPr>
        <w:t>因生产需要,我公司需</w:t>
      </w:r>
      <w:r>
        <w:rPr>
          <w:rFonts w:hint="eastAsia" w:cs="黑体" w:asciiTheme="minorEastAsia" w:hAnsiTheme="minorEastAsia" w:eastAsiaTheme="minorEastAsia"/>
          <w:sz w:val="24"/>
          <w:szCs w:val="24"/>
          <w:lang w:val="en-US" w:eastAsia="zh-CN"/>
        </w:rPr>
        <w:t>从磷化工分公司硫酸厂硫酸储罐区转运自产硫酸至磷化工分公司复肥厂硫酸储罐区</w:t>
      </w:r>
      <w:r>
        <w:rPr>
          <w:rFonts w:hint="eastAsia" w:cs="黑体" w:asciiTheme="minorEastAsia" w:hAnsiTheme="minorEastAsia" w:eastAsiaTheme="minorEastAsia"/>
          <w:sz w:val="24"/>
          <w:szCs w:val="24"/>
          <w:lang w:eastAsia="zh-CN"/>
        </w:rPr>
        <w:t>进行询价（</w:t>
      </w:r>
      <w:r>
        <w:rPr>
          <w:rFonts w:hint="eastAsia" w:cs="黑体" w:asciiTheme="minorEastAsia" w:hAnsiTheme="minorEastAsia" w:eastAsiaTheme="minorEastAsia"/>
          <w:sz w:val="24"/>
          <w:szCs w:val="24"/>
          <w:lang w:val="en-US" w:eastAsia="zh-CN"/>
        </w:rPr>
        <w:t>里程约0.5公里</w:t>
      </w:r>
      <w:r>
        <w:rPr>
          <w:rFonts w:hint="eastAsia" w:cs="黑体" w:asciiTheme="minorEastAsia" w:hAnsiTheme="minorEastAsia" w:eastAsiaTheme="minorEastAsia"/>
          <w:sz w:val="24"/>
          <w:szCs w:val="24"/>
          <w:lang w:eastAsia="zh-CN"/>
        </w:rPr>
        <w:t>，报价时请充分测算，我公司在进行比价时原则上不进行第二次议价）。请于2025年</w:t>
      </w:r>
      <w:r>
        <w:rPr>
          <w:rFonts w:hint="eastAsia" w:cs="黑体" w:asciiTheme="minorEastAsia" w:hAnsiTheme="minorEastAsia" w:eastAsiaTheme="minorEastAsia"/>
          <w:sz w:val="24"/>
          <w:szCs w:val="24"/>
          <w:lang w:val="en-US" w:eastAsia="zh-CN"/>
        </w:rPr>
        <w:t>8</w:t>
      </w:r>
      <w:r>
        <w:rPr>
          <w:rFonts w:hint="eastAsia" w:cs="黑体" w:asciiTheme="minorEastAsia" w:hAnsiTheme="minorEastAsia" w:eastAsiaTheme="minorEastAsia"/>
          <w:sz w:val="24"/>
          <w:szCs w:val="24"/>
          <w:lang w:eastAsia="zh-CN"/>
        </w:rPr>
        <w:t>月</w:t>
      </w:r>
      <w:r>
        <w:rPr>
          <w:rFonts w:hint="eastAsia" w:cs="黑体" w:asciiTheme="minorEastAsia" w:hAnsiTheme="minorEastAsia" w:eastAsiaTheme="minorEastAsia"/>
          <w:sz w:val="24"/>
          <w:szCs w:val="24"/>
          <w:lang w:val="en-US" w:eastAsia="zh-CN"/>
        </w:rPr>
        <w:t>5</w:t>
      </w:r>
      <w:r>
        <w:rPr>
          <w:rFonts w:hint="eastAsia" w:cs="黑体" w:asciiTheme="minorEastAsia" w:hAnsiTheme="minorEastAsia" w:eastAsiaTheme="minorEastAsia"/>
          <w:sz w:val="24"/>
          <w:szCs w:val="24"/>
          <w:lang w:eastAsia="zh-CN"/>
        </w:rPr>
        <w:t>日</w:t>
      </w:r>
      <w:r>
        <w:rPr>
          <w:rFonts w:hint="eastAsia" w:cs="黑体" w:asciiTheme="minorEastAsia" w:hAnsiTheme="minorEastAsia" w:eastAsiaTheme="minorEastAsia"/>
          <w:sz w:val="24"/>
          <w:szCs w:val="24"/>
          <w:lang w:val="en-US" w:eastAsia="zh-CN"/>
        </w:rPr>
        <w:t>12</w:t>
      </w:r>
      <w:r>
        <w:rPr>
          <w:rFonts w:hint="eastAsia" w:cs="黑体" w:asciiTheme="minorEastAsia" w:hAnsiTheme="minorEastAsia" w:eastAsiaTheme="minorEastAsia"/>
          <w:sz w:val="24"/>
          <w:szCs w:val="24"/>
          <w:lang w:eastAsia="zh-CN"/>
        </w:rPr>
        <w:t>：0</w:t>
      </w:r>
      <w:r>
        <w:rPr>
          <w:rFonts w:cs="黑体" w:asciiTheme="minorEastAsia" w:hAnsiTheme="minorEastAsia" w:eastAsiaTheme="minorEastAsia"/>
          <w:sz w:val="24"/>
          <w:szCs w:val="24"/>
          <w:lang w:eastAsia="zh-CN"/>
        </w:rPr>
        <w:t>0</w:t>
      </w:r>
      <w:r>
        <w:rPr>
          <w:rFonts w:hint="eastAsia" w:cs="黑体" w:asciiTheme="minorEastAsia" w:hAnsiTheme="minorEastAsia" w:eastAsiaTheme="minorEastAsia"/>
          <w:sz w:val="24"/>
          <w:szCs w:val="24"/>
          <w:lang w:eastAsia="zh-CN"/>
        </w:rPr>
        <w:t>前将加盖公章的报价单（格式见附件），以电子文件方式（PDF文件、jpg图片等）上传至</w:t>
      </w:r>
      <w:r>
        <w:fldChar w:fldCharType="begin"/>
      </w:r>
      <w:r>
        <w:instrText xml:space="preserve"> HYPERLINK "http://jc.sichuanhongda.com/" </w:instrText>
      </w:r>
      <w:r>
        <w:fldChar w:fldCharType="separate"/>
      </w:r>
      <w:r>
        <w:rPr>
          <w:rStyle w:val="13"/>
          <w:rFonts w:hint="eastAsia"/>
          <w:lang w:eastAsia="zh-CN"/>
        </w:rPr>
        <w:t>http://jc.sichuanhongda.com/</w:t>
      </w:r>
      <w:r>
        <w:rPr>
          <w:rStyle w:val="13"/>
          <w:rFonts w:hint="eastAsia"/>
          <w:lang w:eastAsia="zh-CN"/>
        </w:rPr>
        <w:fldChar w:fldCharType="end"/>
      </w:r>
      <w:r>
        <w:rPr>
          <w:rFonts w:hint="eastAsia" w:cs="黑体" w:asciiTheme="minorEastAsia" w:hAnsiTheme="minorEastAsia" w:eastAsiaTheme="minorEastAsia"/>
          <w:kern w:val="2"/>
          <w:sz w:val="24"/>
          <w:szCs w:val="24"/>
          <w:lang w:eastAsia="zh-CN"/>
        </w:rPr>
        <w:t>四川宏达股份有限公司集采中心招投标平台(以下简称“宏达股份集采平台”）</w:t>
      </w:r>
      <w:r>
        <w:rPr>
          <w:rFonts w:hint="eastAsia" w:cs="黑体" w:asciiTheme="minorEastAsia" w:hAnsiTheme="minorEastAsia" w:eastAsiaTheme="minorEastAsia"/>
          <w:sz w:val="24"/>
          <w:szCs w:val="24"/>
          <w:lang w:eastAsia="zh-CN"/>
        </w:rPr>
        <w:t>。</w:t>
      </w:r>
    </w:p>
    <w:p w14:paraId="24F12BF0">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asciiTheme="minorEastAsia" w:hAnsiTheme="minorEastAsia" w:eastAsiaTheme="minorEastAsia"/>
          <w:sz w:val="24"/>
          <w:szCs w:val="24"/>
          <w:lang w:eastAsia="zh-CN"/>
        </w:rPr>
      </w:pPr>
      <w:r>
        <w:rPr>
          <w:rFonts w:hint="eastAsia" w:cs="黑体" w:asciiTheme="minorEastAsia" w:hAnsiTheme="minorEastAsia" w:eastAsiaTheme="minorEastAsia"/>
          <w:kern w:val="2"/>
          <w:sz w:val="24"/>
          <w:szCs w:val="24"/>
          <w:lang w:eastAsia="zh-CN"/>
        </w:rPr>
        <w:t>本</w:t>
      </w:r>
      <w:r>
        <w:rPr>
          <w:rFonts w:hint="eastAsia" w:cs="黑体" w:asciiTheme="minorEastAsia" w:hAnsiTheme="minorEastAsia" w:eastAsiaTheme="minorEastAsia"/>
          <w:kern w:val="2"/>
          <w:sz w:val="24"/>
          <w:szCs w:val="24"/>
          <w:lang w:val="en-US" w:eastAsia="zh-CN"/>
        </w:rPr>
        <w:t>内转硫酸</w:t>
      </w:r>
      <w:r>
        <w:rPr>
          <w:rFonts w:hint="eastAsia" w:cs="黑体" w:asciiTheme="minorEastAsia" w:hAnsiTheme="minorEastAsia" w:eastAsiaTheme="minorEastAsia"/>
          <w:kern w:val="2"/>
          <w:sz w:val="24"/>
          <w:szCs w:val="24"/>
          <w:lang w:eastAsia="zh-CN"/>
        </w:rPr>
        <w:t>项目询价</w:t>
      </w:r>
      <w:r>
        <w:rPr>
          <w:rFonts w:hint="eastAsia" w:cs="黑体" w:asciiTheme="minorEastAsia" w:hAnsiTheme="minorEastAsia" w:eastAsiaTheme="minorEastAsia"/>
          <w:kern w:val="2"/>
          <w:sz w:val="24"/>
          <w:szCs w:val="24"/>
          <w:lang w:val="en-US" w:eastAsia="zh-CN"/>
        </w:rPr>
        <w:t>事项</w:t>
      </w:r>
      <w:r>
        <w:rPr>
          <w:rFonts w:hint="eastAsia" w:cs="黑体" w:asciiTheme="minorEastAsia" w:hAnsiTheme="minorEastAsia" w:eastAsiaTheme="minorEastAsia"/>
          <w:kern w:val="2"/>
          <w:sz w:val="24"/>
          <w:szCs w:val="24"/>
          <w:lang w:eastAsia="zh-CN"/>
        </w:rPr>
        <w:t>要求如下：</w:t>
      </w:r>
    </w:p>
    <w:p w14:paraId="7A2B9349">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cs="黑体" w:asciiTheme="minorEastAsia" w:hAnsiTheme="minorEastAsia" w:eastAsiaTheme="minorEastAsia"/>
          <w:kern w:val="2"/>
          <w:sz w:val="24"/>
          <w:szCs w:val="24"/>
          <w:lang w:eastAsia="zh-CN"/>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运输</w:t>
      </w:r>
      <w:r>
        <w:rPr>
          <w:rFonts w:hint="eastAsia" w:asciiTheme="minorEastAsia" w:hAnsiTheme="minorEastAsia" w:eastAsiaTheme="minorEastAsia"/>
          <w:sz w:val="24"/>
          <w:szCs w:val="24"/>
          <w:lang w:eastAsia="zh-CN"/>
        </w:rPr>
        <w:t>数量：</w:t>
      </w:r>
      <w:r>
        <w:rPr>
          <w:rFonts w:hint="eastAsia" w:asciiTheme="minorEastAsia" w:hAnsiTheme="minorEastAsia" w:eastAsiaTheme="minorEastAsia"/>
          <w:sz w:val="24"/>
          <w:szCs w:val="24"/>
          <w:lang w:val="en-US" w:eastAsia="zh-CN"/>
        </w:rPr>
        <w:t>预估数量20</w:t>
      </w:r>
      <w:r>
        <w:rPr>
          <w:rFonts w:hint="eastAsia" w:asciiTheme="minorEastAsia" w:hAnsiTheme="minorEastAsia" w:eastAsiaTheme="minorEastAsia"/>
          <w:sz w:val="24"/>
          <w:szCs w:val="24"/>
          <w:lang w:eastAsia="zh-CN"/>
        </w:rPr>
        <w:t>00吨。</w:t>
      </w:r>
    </w:p>
    <w:p w14:paraId="068B6B20">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hint="eastAsia"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val="en-US" w:eastAsia="zh-CN"/>
        </w:rPr>
        <w:t>2</w:t>
      </w:r>
      <w:r>
        <w:rPr>
          <w:rFonts w:hint="eastAsia" w:cs="黑体" w:asciiTheme="minorEastAsia" w:hAnsiTheme="minorEastAsia" w:eastAsiaTheme="minorEastAsia"/>
          <w:sz w:val="24"/>
          <w:szCs w:val="24"/>
          <w:lang w:eastAsia="zh-CN"/>
        </w:rPr>
        <w:t>、</w:t>
      </w:r>
      <w:r>
        <w:rPr>
          <w:rFonts w:hint="eastAsia" w:cs="黑体" w:asciiTheme="minorEastAsia" w:hAnsiTheme="minorEastAsia" w:eastAsiaTheme="minorEastAsia"/>
          <w:sz w:val="24"/>
          <w:szCs w:val="24"/>
          <w:lang w:val="en-US" w:eastAsia="zh-CN"/>
        </w:rPr>
        <w:t>运输时间</w:t>
      </w:r>
      <w:r>
        <w:rPr>
          <w:rFonts w:hint="eastAsia" w:cs="黑体" w:asciiTheme="minorEastAsia" w:hAnsiTheme="minorEastAsia" w:eastAsiaTheme="minorEastAsia"/>
          <w:sz w:val="24"/>
          <w:szCs w:val="24"/>
          <w:lang w:eastAsia="zh-CN"/>
        </w:rPr>
        <w:t>：</w:t>
      </w:r>
      <w:r>
        <w:rPr>
          <w:rFonts w:hint="eastAsia" w:cs="黑体" w:asciiTheme="minorEastAsia" w:hAnsiTheme="minorEastAsia" w:eastAsiaTheme="minorEastAsia"/>
          <w:sz w:val="24"/>
          <w:szCs w:val="24"/>
          <w:lang w:val="en-US" w:eastAsia="zh-CN"/>
        </w:rPr>
        <w:t>2025年8月8日至2025年1月31日。</w:t>
      </w:r>
    </w:p>
    <w:p w14:paraId="1EEA1872">
      <w:pPr>
        <w:keepNext w:val="0"/>
        <w:keepLines w:val="0"/>
        <w:pageBreakBefore w:val="0"/>
        <w:kinsoku/>
        <w:overflowPunct/>
        <w:topLinePunct w:val="0"/>
        <w:bidi w:val="0"/>
        <w:adjustRightInd/>
        <w:snapToGrid w:val="0"/>
        <w:spacing w:line="440" w:lineRule="exact"/>
        <w:ind w:firstLine="480" w:firstLineChars="200"/>
        <w:textAlignment w:val="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运输起止</w:t>
      </w:r>
      <w:r>
        <w:rPr>
          <w:rFonts w:hint="eastAsia" w:asciiTheme="minorEastAsia" w:hAnsiTheme="minorEastAsia" w:eastAsiaTheme="minorEastAsia"/>
          <w:sz w:val="24"/>
          <w:szCs w:val="24"/>
          <w:lang w:eastAsia="zh-CN"/>
        </w:rPr>
        <w:t>地：四川宏达股份有限公司</w:t>
      </w:r>
      <w:r>
        <w:rPr>
          <w:rFonts w:hint="eastAsia" w:asciiTheme="minorEastAsia" w:hAnsiTheme="minorEastAsia" w:eastAsiaTheme="minorEastAsia"/>
          <w:sz w:val="24"/>
          <w:szCs w:val="24"/>
          <w:lang w:val="en-US" w:eastAsia="zh-CN"/>
        </w:rPr>
        <w:t>磷化工分公司硫酸厂储罐区至</w:t>
      </w:r>
      <w:r>
        <w:rPr>
          <w:rFonts w:hint="eastAsia" w:asciiTheme="minorEastAsia" w:hAnsiTheme="minorEastAsia" w:eastAsiaTheme="minorEastAsia"/>
          <w:sz w:val="24"/>
          <w:szCs w:val="24"/>
          <w:lang w:eastAsia="zh-CN"/>
        </w:rPr>
        <w:t>四川宏达股份有限公司</w:t>
      </w:r>
      <w:r>
        <w:rPr>
          <w:rFonts w:hint="eastAsia" w:asciiTheme="minorEastAsia" w:hAnsiTheme="minorEastAsia" w:eastAsiaTheme="minorEastAsia"/>
          <w:sz w:val="24"/>
          <w:szCs w:val="24"/>
          <w:lang w:val="en-US" w:eastAsia="zh-CN"/>
        </w:rPr>
        <w:t>磷化工分公司复肥厂硫酸储罐区</w:t>
      </w:r>
      <w:r>
        <w:rPr>
          <w:rFonts w:hint="eastAsia" w:asciiTheme="minorEastAsia" w:hAnsiTheme="minorEastAsia" w:eastAsiaTheme="minorEastAsia"/>
          <w:sz w:val="24"/>
          <w:szCs w:val="24"/>
          <w:lang w:eastAsia="zh-CN"/>
        </w:rPr>
        <w:t>。</w:t>
      </w:r>
    </w:p>
    <w:p w14:paraId="5FA8D389">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val="en-US" w:eastAsia="zh-CN"/>
        </w:rPr>
        <w:t>4</w:t>
      </w:r>
      <w:r>
        <w:rPr>
          <w:rFonts w:hint="eastAsia" w:cs="黑体" w:asciiTheme="minorEastAsia" w:hAnsiTheme="minorEastAsia" w:eastAsiaTheme="minorEastAsia"/>
          <w:sz w:val="24"/>
          <w:szCs w:val="24"/>
          <w:lang w:eastAsia="zh-CN"/>
        </w:rPr>
        <w:t>、发票：一票制，中标人开具全额增值税专用发票（税率</w:t>
      </w:r>
      <w:r>
        <w:rPr>
          <w:rFonts w:hint="eastAsia" w:cs="黑体" w:asciiTheme="minorEastAsia" w:hAnsiTheme="minorEastAsia" w:eastAsiaTheme="minorEastAsia"/>
          <w:sz w:val="24"/>
          <w:szCs w:val="24"/>
          <w:lang w:val="en-US" w:eastAsia="zh-CN"/>
        </w:rPr>
        <w:t>9</w:t>
      </w:r>
      <w:r>
        <w:rPr>
          <w:rFonts w:hint="eastAsia" w:cs="黑体" w:asciiTheme="minorEastAsia" w:hAnsiTheme="minorEastAsia" w:eastAsiaTheme="minorEastAsia"/>
          <w:sz w:val="24"/>
          <w:szCs w:val="24"/>
          <w:lang w:eastAsia="zh-CN"/>
        </w:rPr>
        <w:t>%）。</w:t>
      </w:r>
    </w:p>
    <w:p w14:paraId="1DE92EC8">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val="en-US" w:eastAsia="zh-CN"/>
        </w:rPr>
        <w:t>5</w:t>
      </w:r>
      <w:r>
        <w:rPr>
          <w:rFonts w:hint="eastAsia" w:cs="黑体" w:asciiTheme="minorEastAsia" w:hAnsiTheme="minorEastAsia" w:eastAsiaTheme="minorEastAsia"/>
          <w:sz w:val="24"/>
          <w:szCs w:val="24"/>
          <w:lang w:eastAsia="zh-CN"/>
        </w:rPr>
        <w:t>、付款方式：先货后款，</w:t>
      </w:r>
      <w:r>
        <w:rPr>
          <w:rFonts w:hint="eastAsia" w:cs="黑体" w:asciiTheme="minorEastAsia" w:hAnsiTheme="minorEastAsia" w:eastAsiaTheme="minorEastAsia"/>
          <w:sz w:val="24"/>
          <w:szCs w:val="24"/>
          <w:lang w:val="en-US" w:eastAsia="zh-CN"/>
        </w:rPr>
        <w:t>现汇支付</w:t>
      </w:r>
      <w:r>
        <w:rPr>
          <w:rFonts w:hint="eastAsia" w:cs="黑体" w:asciiTheme="minorEastAsia" w:hAnsiTheme="minorEastAsia" w:eastAsiaTheme="minorEastAsia"/>
          <w:sz w:val="24"/>
          <w:szCs w:val="24"/>
          <w:lang w:eastAsia="zh-CN"/>
        </w:rPr>
        <w:t>。</w:t>
      </w:r>
    </w:p>
    <w:p w14:paraId="749BE70D">
      <w:pPr>
        <w:keepNext w:val="0"/>
        <w:keepLines w:val="0"/>
        <w:pageBreakBefore w:val="0"/>
        <w:widowControl/>
        <w:shd w:val="clear" w:color="auto" w:fill="FFFFFF"/>
        <w:kinsoku/>
        <w:overflowPunct/>
        <w:topLinePunct w:val="0"/>
        <w:bidi w:val="0"/>
        <w:adjustRightInd/>
        <w:spacing w:line="440" w:lineRule="exact"/>
        <w:ind w:firstLine="480" w:firstLineChars="200"/>
        <w:jc w:val="left"/>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val="en-US" w:eastAsia="zh-CN"/>
        </w:rPr>
        <w:t>6</w:t>
      </w:r>
      <w:r>
        <w:rPr>
          <w:rFonts w:hint="eastAsia" w:cs="黑体" w:asciiTheme="minorEastAsia" w:hAnsiTheme="minorEastAsia" w:eastAsiaTheme="minorEastAsia"/>
          <w:sz w:val="24"/>
          <w:szCs w:val="24"/>
          <w:lang w:eastAsia="zh-CN"/>
        </w:rPr>
        <w:t>、资质要求：具有</w:t>
      </w:r>
      <w:r>
        <w:rPr>
          <w:rFonts w:hint="eastAsia" w:cs="黑体" w:asciiTheme="minorEastAsia" w:hAnsiTheme="minorEastAsia" w:eastAsiaTheme="minorEastAsia"/>
          <w:sz w:val="24"/>
          <w:szCs w:val="24"/>
          <w:lang w:val="en-US" w:eastAsia="zh-CN"/>
        </w:rPr>
        <w:t>合法</w:t>
      </w:r>
      <w:r>
        <w:rPr>
          <w:rFonts w:hint="eastAsia" w:cs="黑体" w:asciiTheme="minorEastAsia" w:hAnsiTheme="minorEastAsia" w:eastAsiaTheme="minorEastAsia"/>
          <w:sz w:val="24"/>
          <w:szCs w:val="24"/>
          <w:lang w:eastAsia="zh-CN"/>
        </w:rPr>
        <w:t>有效的营业执照（</w:t>
      </w:r>
      <w:r>
        <w:rPr>
          <w:rFonts w:hint="eastAsia" w:cs="黑体" w:asciiTheme="minorEastAsia" w:hAnsiTheme="minorEastAsia" w:eastAsiaTheme="minorEastAsia"/>
          <w:sz w:val="24"/>
          <w:szCs w:val="24"/>
          <w:lang w:val="en-US" w:eastAsia="zh-CN"/>
        </w:rPr>
        <w:t>三证合一</w:t>
      </w:r>
      <w:r>
        <w:rPr>
          <w:rFonts w:hint="eastAsia" w:cs="黑体" w:asciiTheme="minorEastAsia" w:hAnsiTheme="minorEastAsia" w:eastAsiaTheme="minorEastAsia"/>
          <w:sz w:val="24"/>
          <w:szCs w:val="24"/>
          <w:lang w:eastAsia="zh-CN"/>
        </w:rPr>
        <w:t>）、</w:t>
      </w:r>
      <w:r>
        <w:rPr>
          <w:rFonts w:hint="eastAsia" w:cs="黑体" w:asciiTheme="minorEastAsia" w:hAnsiTheme="minorEastAsia" w:eastAsiaTheme="minorEastAsia"/>
          <w:sz w:val="24"/>
          <w:szCs w:val="24"/>
          <w:lang w:val="en-US" w:eastAsia="zh-CN"/>
        </w:rPr>
        <w:t>道路运输经营许可证</w:t>
      </w:r>
      <w:r>
        <w:rPr>
          <w:rFonts w:hint="eastAsia" w:cs="黑体" w:asciiTheme="minorEastAsia" w:hAnsiTheme="minorEastAsia" w:eastAsiaTheme="minorEastAsia"/>
          <w:sz w:val="24"/>
          <w:szCs w:val="24"/>
          <w:lang w:eastAsia="zh-CN"/>
        </w:rPr>
        <w:t>等。</w:t>
      </w:r>
      <w:bookmarkStart w:id="4" w:name="_Hlk201587717"/>
    </w:p>
    <w:bookmarkEnd w:id="4"/>
    <w:p w14:paraId="68D65FE2">
      <w:pPr>
        <w:keepNext w:val="0"/>
        <w:keepLines w:val="0"/>
        <w:pageBreakBefore w:val="0"/>
        <w:kinsoku/>
        <w:overflowPunct/>
        <w:topLinePunct w:val="0"/>
        <w:autoSpaceDE/>
        <w:autoSpaceDN/>
        <w:bidi w:val="0"/>
        <w:adjustRightInd/>
        <w:snapToGrid w:val="0"/>
        <w:spacing w:line="440" w:lineRule="exact"/>
        <w:ind w:firstLine="480" w:firstLineChars="200"/>
        <w:textAlignment w:val="auto"/>
        <w:rPr>
          <w:rFonts w:cs="黑体" w:asciiTheme="minorEastAsia" w:hAnsiTheme="minorEastAsia" w:eastAsiaTheme="minorEastAsia"/>
          <w:sz w:val="24"/>
          <w:szCs w:val="24"/>
          <w:lang w:eastAsia="zh-CN"/>
        </w:rPr>
      </w:pPr>
      <w:r>
        <w:rPr>
          <w:rFonts w:hint="eastAsia" w:cs="Times New Roman"/>
          <w:kern w:val="2"/>
          <w:sz w:val="24"/>
          <w:szCs w:val="24"/>
          <w:lang w:eastAsia="zh-CN"/>
        </w:rPr>
        <w:t>比选时不保证最低价中选，但充分注意合理的最低报价。</w:t>
      </w:r>
      <w:r>
        <w:rPr>
          <w:rFonts w:hint="eastAsia" w:cs="黑体" w:asciiTheme="minorEastAsia" w:hAnsiTheme="minorEastAsia" w:eastAsiaTheme="minorEastAsia"/>
          <w:sz w:val="24"/>
          <w:szCs w:val="24"/>
          <w:lang w:eastAsia="zh-CN"/>
        </w:rPr>
        <w:t>报价前，报价方可自愿前来我公司进行实地考查、或咨询。项目地点：</w:t>
      </w:r>
      <w:r>
        <w:rPr>
          <w:rFonts w:hint="eastAsia" w:asciiTheme="minorEastAsia" w:hAnsiTheme="minorEastAsia" w:eastAsiaTheme="minorEastAsia"/>
          <w:sz w:val="24"/>
          <w:szCs w:val="24"/>
          <w:lang w:eastAsia="zh-CN"/>
        </w:rPr>
        <w:t>四川宏达股份有限公司什邡</w:t>
      </w:r>
      <w:r>
        <w:rPr>
          <w:rFonts w:hint="eastAsia" w:asciiTheme="minorEastAsia" w:hAnsiTheme="minorEastAsia" w:eastAsiaTheme="minorEastAsia"/>
          <w:sz w:val="24"/>
          <w:szCs w:val="24"/>
          <w:lang w:val="en-US" w:eastAsia="zh-CN"/>
        </w:rPr>
        <w:t>磷化工</w:t>
      </w:r>
      <w:r>
        <w:rPr>
          <w:rFonts w:hint="eastAsia" w:asciiTheme="minorEastAsia" w:hAnsiTheme="minorEastAsia" w:eastAsiaTheme="minorEastAsia"/>
          <w:sz w:val="24"/>
          <w:szCs w:val="24"/>
          <w:lang w:eastAsia="zh-CN"/>
        </w:rPr>
        <w:t>分公司</w:t>
      </w:r>
      <w:r>
        <w:rPr>
          <w:rFonts w:hint="eastAsia" w:cs="黑体" w:asciiTheme="minorEastAsia" w:hAnsiTheme="minorEastAsia" w:eastAsiaTheme="minorEastAsia"/>
          <w:sz w:val="24"/>
          <w:szCs w:val="24"/>
          <w:lang w:eastAsia="zh-CN"/>
        </w:rPr>
        <w:t>。</w:t>
      </w:r>
    </w:p>
    <w:p w14:paraId="6881F30D">
      <w:pPr>
        <w:keepNext w:val="0"/>
        <w:keepLines w:val="0"/>
        <w:pageBreakBefore w:val="0"/>
        <w:kinsoku/>
        <w:overflowPunct/>
        <w:topLinePunct w:val="0"/>
        <w:bidi w:val="0"/>
        <w:adjustRightInd/>
        <w:snapToGrid w:val="0"/>
        <w:spacing w:line="440" w:lineRule="exact"/>
        <w:ind w:firstLine="480" w:firstLineChars="200"/>
        <w:textAlignment w:val="auto"/>
        <w:rPr>
          <w:rFonts w:hint="default" w:cs="黑体" w:asciiTheme="minorEastAsia" w:hAnsiTheme="minorEastAsia" w:eastAsiaTheme="minorEastAsia"/>
          <w:sz w:val="24"/>
          <w:szCs w:val="24"/>
          <w:lang w:val="en-US" w:eastAsia="zh-CN"/>
        </w:rPr>
      </w:pPr>
      <w:r>
        <w:rPr>
          <w:rFonts w:hint="eastAsia" w:cs="黑体" w:asciiTheme="minorEastAsia" w:hAnsiTheme="minorEastAsia" w:eastAsiaTheme="minorEastAsia"/>
          <w:sz w:val="24"/>
          <w:szCs w:val="24"/>
          <w:lang w:eastAsia="zh-CN"/>
        </w:rPr>
        <w:t>联系人：</w:t>
      </w:r>
      <w:r>
        <w:rPr>
          <w:rFonts w:hint="eastAsia" w:cs="黑体" w:asciiTheme="minorEastAsia" w:hAnsiTheme="minorEastAsia" w:eastAsiaTheme="minorEastAsia"/>
          <w:sz w:val="24"/>
          <w:szCs w:val="24"/>
          <w:lang w:val="en-US" w:eastAsia="zh-CN"/>
        </w:rPr>
        <w:t>王</w:t>
      </w:r>
      <w:r>
        <w:rPr>
          <w:rFonts w:hint="eastAsia" w:cs="黑体" w:asciiTheme="minorEastAsia" w:hAnsiTheme="minorEastAsia" w:eastAsiaTheme="minorEastAsia"/>
          <w:sz w:val="24"/>
          <w:szCs w:val="24"/>
          <w:lang w:eastAsia="zh-CN"/>
        </w:rPr>
        <w:t>先生13</w:t>
      </w:r>
      <w:r>
        <w:rPr>
          <w:rFonts w:hint="eastAsia" w:cs="黑体" w:asciiTheme="minorEastAsia" w:hAnsiTheme="minorEastAsia" w:eastAsiaTheme="minorEastAsia"/>
          <w:sz w:val="24"/>
          <w:szCs w:val="24"/>
          <w:lang w:val="en-US" w:eastAsia="zh-CN"/>
        </w:rPr>
        <w:t>980105555</w:t>
      </w:r>
    </w:p>
    <w:p w14:paraId="51829595">
      <w:pPr>
        <w:keepNext w:val="0"/>
        <w:keepLines w:val="0"/>
        <w:pageBreakBefore w:val="0"/>
        <w:kinsoku/>
        <w:overflowPunct/>
        <w:topLinePunct w:val="0"/>
        <w:bidi w:val="0"/>
        <w:adjustRightInd/>
        <w:snapToGrid w:val="0"/>
        <w:spacing w:line="440" w:lineRule="exact"/>
        <w:ind w:right="960"/>
        <w:textAlignment w:val="auto"/>
        <w:rPr>
          <w:rFonts w:cs="黑体" w:asciiTheme="minorEastAsia" w:hAnsiTheme="minorEastAsia" w:eastAsiaTheme="minorEastAsia"/>
          <w:sz w:val="24"/>
          <w:szCs w:val="24"/>
          <w:lang w:eastAsia="zh-CN"/>
        </w:rPr>
      </w:pPr>
    </w:p>
    <w:p w14:paraId="13C03747">
      <w:pPr>
        <w:keepNext w:val="0"/>
        <w:keepLines w:val="0"/>
        <w:pageBreakBefore w:val="0"/>
        <w:kinsoku/>
        <w:overflowPunct/>
        <w:topLinePunct w:val="0"/>
        <w:bidi w:val="0"/>
        <w:adjustRightInd/>
        <w:snapToGrid w:val="0"/>
        <w:spacing w:line="440" w:lineRule="exact"/>
        <w:ind w:right="960"/>
        <w:textAlignment w:val="auto"/>
        <w:rPr>
          <w:rFonts w:cs="黑体" w:asciiTheme="minorEastAsia" w:hAnsiTheme="minorEastAsia" w:eastAsiaTheme="minorEastAsia"/>
          <w:sz w:val="24"/>
          <w:szCs w:val="24"/>
          <w:lang w:eastAsia="zh-CN"/>
        </w:rPr>
      </w:pPr>
    </w:p>
    <w:p w14:paraId="3F2997C8">
      <w:pPr>
        <w:keepNext w:val="0"/>
        <w:keepLines w:val="0"/>
        <w:pageBreakBefore w:val="0"/>
        <w:kinsoku/>
        <w:overflowPunct/>
        <w:topLinePunct w:val="0"/>
        <w:bidi w:val="0"/>
        <w:adjustRightInd/>
        <w:snapToGrid w:val="0"/>
        <w:spacing w:line="440" w:lineRule="exact"/>
        <w:ind w:firstLine="480" w:firstLineChars="200"/>
        <w:jc w:val="center"/>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lang w:eastAsia="zh-CN"/>
        </w:rPr>
        <w:t xml:space="preserve">四川宏达股份有限公司 </w:t>
      </w:r>
    </w:p>
    <w:p w14:paraId="792EDBCB">
      <w:pPr>
        <w:keepNext w:val="0"/>
        <w:keepLines w:val="0"/>
        <w:pageBreakBefore w:val="0"/>
        <w:kinsoku/>
        <w:wordWrap w:val="0"/>
        <w:overflowPunct/>
        <w:topLinePunct w:val="0"/>
        <w:bidi w:val="0"/>
        <w:adjustRightInd/>
        <w:snapToGrid w:val="0"/>
        <w:spacing w:line="440" w:lineRule="exact"/>
        <w:jc w:val="center"/>
        <w:textAlignment w:val="auto"/>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24"/>
          <w:szCs w:val="24"/>
          <w:lang w:val="en-US" w:eastAsia="zh-CN"/>
        </w:rPr>
        <w:t xml:space="preserve">                                              </w:t>
      </w:r>
      <w:r>
        <w:rPr>
          <w:rFonts w:hint="eastAsia" w:cs="黑体" w:asciiTheme="minorEastAsia" w:hAnsiTheme="minorEastAsia" w:eastAsiaTheme="minorEastAsia"/>
          <w:sz w:val="24"/>
          <w:szCs w:val="24"/>
          <w:lang w:eastAsia="zh-CN"/>
        </w:rPr>
        <w:t>2025年7月</w:t>
      </w:r>
      <w:r>
        <w:rPr>
          <w:rFonts w:hint="eastAsia" w:cs="黑体" w:asciiTheme="minorEastAsia" w:hAnsiTheme="minorEastAsia" w:eastAsiaTheme="minorEastAsia"/>
          <w:sz w:val="24"/>
          <w:szCs w:val="24"/>
          <w:lang w:val="en-US" w:eastAsia="zh-CN"/>
        </w:rPr>
        <w:t>31</w:t>
      </w:r>
      <w:r>
        <w:rPr>
          <w:rFonts w:hint="eastAsia" w:cs="黑体" w:asciiTheme="minorEastAsia" w:hAnsiTheme="minorEastAsia" w:eastAsiaTheme="minorEastAsia"/>
          <w:sz w:val="24"/>
          <w:szCs w:val="24"/>
          <w:lang w:eastAsia="zh-CN"/>
        </w:rPr>
        <w:t>日</w:t>
      </w:r>
      <w:bookmarkEnd w:id="0"/>
      <w:bookmarkEnd w:id="1"/>
      <w:r>
        <w:rPr>
          <w:rFonts w:hint="eastAsia" w:cs="黑体" w:asciiTheme="minorEastAsia" w:hAnsiTheme="minorEastAsia" w:eastAsiaTheme="minorEastAsia"/>
          <w:sz w:val="24"/>
          <w:szCs w:val="24"/>
          <w:lang w:eastAsia="zh-CN"/>
        </w:rPr>
        <w:t xml:space="preserve"> </w:t>
      </w:r>
      <w:bookmarkEnd w:id="2"/>
      <w:bookmarkEnd w:id="3"/>
      <w:r>
        <w:rPr>
          <w:rFonts w:hint="eastAsia" w:cs="黑体" w:asciiTheme="minorEastAsia" w:hAnsiTheme="minorEastAsia" w:eastAsiaTheme="minorEastAsia"/>
          <w:sz w:val="24"/>
          <w:szCs w:val="24"/>
          <w:lang w:eastAsia="zh-CN"/>
        </w:rPr>
        <w:t xml:space="preserve">  </w:t>
      </w:r>
    </w:p>
    <w:p w14:paraId="4EF14253">
      <w:pPr>
        <w:keepNext w:val="0"/>
        <w:keepLines w:val="0"/>
        <w:pageBreakBefore w:val="0"/>
        <w:widowControl/>
        <w:kinsoku/>
        <w:overflowPunct/>
        <w:topLinePunct w:val="0"/>
        <w:autoSpaceDE/>
        <w:autoSpaceDN/>
        <w:bidi w:val="0"/>
        <w:adjustRightInd/>
        <w:snapToGrid w:val="0"/>
        <w:spacing w:line="440" w:lineRule="exact"/>
        <w:textAlignment w:val="auto"/>
        <w:rPr>
          <w:rFonts w:hint="default" w:cs="黑体" w:asciiTheme="minorEastAsia" w:hAnsiTheme="minorEastAsia" w:eastAsiaTheme="minorEastAsia"/>
          <w:bCs/>
          <w:sz w:val="24"/>
          <w:szCs w:val="24"/>
          <w:lang w:val="en-US" w:eastAsia="zh-CN"/>
        </w:rPr>
      </w:pPr>
      <w:r>
        <w:rPr>
          <w:rFonts w:hint="eastAsia" w:cs="黑体" w:asciiTheme="minorEastAsia" w:hAnsiTheme="minorEastAsia" w:eastAsiaTheme="minorEastAsia"/>
          <w:sz w:val="24"/>
          <w:szCs w:val="24"/>
          <w:lang w:eastAsia="zh-CN"/>
        </w:rPr>
        <w:br w:type="page"/>
      </w:r>
    </w:p>
    <w:p w14:paraId="2FD5398A">
      <w:pPr>
        <w:pStyle w:val="8"/>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00" w:lineRule="exact"/>
        <w:textAlignment w:val="auto"/>
        <w:rPr>
          <w:rFonts w:hint="default" w:ascii="黑体" w:hAnsi="黑体" w:eastAsia="黑体"/>
          <w:b/>
          <w:bCs/>
          <w:color w:val="000000" w:themeColor="text1"/>
          <w:sz w:val="28"/>
          <w:szCs w:val="28"/>
          <w:u w:val="none"/>
          <w:lang w:val="en-US"/>
          <w14:textFill>
            <w14:solidFill>
              <w14:schemeClr w14:val="tx1"/>
            </w14:solidFill>
          </w14:textFill>
        </w:rPr>
      </w:pPr>
      <w:r>
        <w:rPr>
          <w:rFonts w:hint="eastAsia"/>
          <w:b/>
          <w:bCs/>
          <w:color w:val="000000" w:themeColor="text1"/>
          <w:u w:val="none"/>
          <w:lang w:val="en-US" w:eastAsia="zh-CN"/>
          <w14:textFill>
            <w14:solidFill>
              <w14:schemeClr w14:val="tx1"/>
            </w14:solidFill>
          </w14:textFill>
        </w:rPr>
        <w:t xml:space="preserve"> </w:t>
      </w:r>
      <w:r>
        <w:rPr>
          <w:rFonts w:hint="eastAsia"/>
          <w:b/>
          <w:bCs/>
          <w:color w:val="000000" w:themeColor="text1"/>
          <w:sz w:val="36"/>
          <w:szCs w:val="36"/>
          <w:u w:val="none"/>
          <w:lang w:val="en-US" w:eastAsia="zh-CN"/>
          <w14:textFill>
            <w14:solidFill>
              <w14:schemeClr w14:val="tx1"/>
            </w14:solidFill>
          </w14:textFill>
        </w:rPr>
        <w:t>附件</w:t>
      </w:r>
    </w:p>
    <w:p w14:paraId="790614BB">
      <w:pPr>
        <w:pStyle w:val="22"/>
        <w:keepNext w:val="0"/>
        <w:keepLines w:val="0"/>
        <w:pageBreakBefore w:val="0"/>
        <w:widowControl/>
        <w:kinsoku/>
        <w:wordWrap/>
        <w:overflowPunct/>
        <w:topLinePunct w:val="0"/>
        <w:autoSpaceDE/>
        <w:autoSpaceDN/>
        <w:bidi w:val="0"/>
        <w:adjustRightInd/>
        <w:spacing w:before="120" w:line="500" w:lineRule="exact"/>
        <w:ind w:left="3694" w:leftChars="1597" w:hanging="181" w:hangingChars="50"/>
        <w:jc w:val="both"/>
        <w:textAlignment w:val="auto"/>
        <w:rPr>
          <w:rFonts w:hint="eastAsia" w:ascii="黑体" w:hAnsi="黑体" w:eastAsia="黑体" w:cs="Segoe UI"/>
          <w:b/>
          <w:bCs/>
          <w:color w:val="4E5463"/>
          <w:kern w:val="0"/>
          <w:sz w:val="36"/>
          <w:szCs w:val="36"/>
          <w:lang w:val="en-US" w:eastAsia="zh-CN" w:bidi="ar-SA"/>
        </w:rPr>
      </w:pPr>
      <w:r>
        <w:rPr>
          <w:rFonts w:hint="eastAsia" w:ascii="黑体" w:hAnsi="黑体" w:eastAsia="黑体" w:cs="Segoe UI"/>
          <w:b/>
          <w:bCs/>
          <w:color w:val="4E5463"/>
          <w:kern w:val="0"/>
          <w:sz w:val="36"/>
          <w:szCs w:val="36"/>
          <w:lang w:val="en-US" w:eastAsia="zh-CN" w:bidi="ar-SA"/>
        </w:rPr>
        <w:t>报  价  单</w:t>
      </w:r>
    </w:p>
    <w:p w14:paraId="3423EBDF">
      <w:pPr>
        <w:pStyle w:val="22"/>
        <w:keepNext w:val="0"/>
        <w:keepLines w:val="0"/>
        <w:pageBreakBefore w:val="0"/>
        <w:widowControl/>
        <w:kinsoku/>
        <w:wordWrap/>
        <w:overflowPunct/>
        <w:topLinePunct w:val="0"/>
        <w:autoSpaceDE/>
        <w:autoSpaceDN/>
        <w:bidi w:val="0"/>
        <w:adjustRightInd/>
        <w:spacing w:before="120" w:line="500" w:lineRule="exact"/>
        <w:textAlignment w:val="auto"/>
        <w:rPr>
          <w:rFonts w:hint="eastAsia" w:ascii="黑体" w:hAnsi="黑体" w:eastAsia="黑体" w:cs="Segoe UI"/>
          <w:color w:val="4E5463"/>
          <w:kern w:val="0"/>
          <w:sz w:val="28"/>
          <w:szCs w:val="28"/>
          <w:lang w:val="en-US" w:eastAsia="zh-CN" w:bidi="ar-SA"/>
        </w:rPr>
      </w:pPr>
      <w:r>
        <w:rPr>
          <w:rFonts w:hint="eastAsia" w:ascii="黑体" w:hAnsi="黑体" w:eastAsia="黑体" w:cs="Segoe UI"/>
          <w:color w:val="4E5463"/>
          <w:kern w:val="0"/>
          <w:sz w:val="28"/>
          <w:szCs w:val="28"/>
          <w:lang w:val="en-US" w:eastAsia="zh-CN" w:bidi="ar-SA"/>
        </w:rPr>
        <w:t>四川宏达股份有限公司</w:t>
      </w:r>
    </w:p>
    <w:p w14:paraId="1F5E6FE2">
      <w:pPr>
        <w:pStyle w:val="22"/>
        <w:keepNext w:val="0"/>
        <w:keepLines w:val="0"/>
        <w:pageBreakBefore w:val="0"/>
        <w:widowControl/>
        <w:kinsoku/>
        <w:wordWrap/>
        <w:overflowPunct/>
        <w:topLinePunct w:val="0"/>
        <w:autoSpaceDE/>
        <w:autoSpaceDN/>
        <w:bidi w:val="0"/>
        <w:adjustRightInd/>
        <w:spacing w:before="120" w:line="500" w:lineRule="exact"/>
        <w:ind w:firstLine="560" w:firstLineChars="200"/>
        <w:textAlignment w:val="auto"/>
        <w:rPr>
          <w:rFonts w:hint="eastAsia" w:ascii="黑体" w:hAnsi="黑体" w:eastAsia="黑体" w:cs="Segoe UI"/>
          <w:color w:val="4E5463"/>
          <w:kern w:val="0"/>
          <w:sz w:val="28"/>
          <w:szCs w:val="28"/>
          <w:lang w:val="en-US" w:eastAsia="zh-CN" w:bidi="ar-SA"/>
        </w:rPr>
      </w:pPr>
      <w:r>
        <w:rPr>
          <w:rFonts w:hint="eastAsia" w:ascii="黑体" w:hAnsi="黑体" w:eastAsia="黑体" w:cs="Segoe UI"/>
          <w:color w:val="4E5463"/>
          <w:kern w:val="0"/>
          <w:sz w:val="28"/>
          <w:szCs w:val="28"/>
          <w:lang w:val="en-US" w:eastAsia="zh-CN" w:bidi="ar-SA"/>
        </w:rPr>
        <w:t>根据贵方工业硫酸运输的招标要求，我方经研究招标有关文件，正式授权委托：姓名：          职务：        代表：                                      公司投标 ：</w:t>
      </w:r>
    </w:p>
    <w:tbl>
      <w:tblPr>
        <w:tblStyle w:val="10"/>
        <w:tblW w:w="86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5"/>
        <w:gridCol w:w="895"/>
        <w:gridCol w:w="5114"/>
        <w:gridCol w:w="1061"/>
        <w:gridCol w:w="1065"/>
      </w:tblGrid>
      <w:tr w14:paraId="71D79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Align w:val="center"/>
          </w:tcPr>
          <w:p w14:paraId="3C3417F9">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序号</w:t>
            </w:r>
          </w:p>
        </w:tc>
        <w:tc>
          <w:tcPr>
            <w:tcW w:w="895" w:type="dxa"/>
            <w:vAlign w:val="center"/>
          </w:tcPr>
          <w:p w14:paraId="2B2FA96A">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运输</w:t>
            </w:r>
            <w:r>
              <w:rPr>
                <w:rFonts w:hint="eastAsia" w:ascii="黑体" w:hAnsi="黑体" w:eastAsia="黑体"/>
                <w:sz w:val="21"/>
                <w:szCs w:val="21"/>
                <w:lang w:val="en-US" w:eastAsia="zh-CN"/>
              </w:rPr>
              <w:t>货</w:t>
            </w:r>
            <w:r>
              <w:rPr>
                <w:rFonts w:hint="eastAsia" w:ascii="黑体" w:hAnsi="黑体" w:eastAsia="黑体"/>
                <w:sz w:val="21"/>
                <w:szCs w:val="21"/>
              </w:rPr>
              <w:t>物名称</w:t>
            </w:r>
          </w:p>
        </w:tc>
        <w:tc>
          <w:tcPr>
            <w:tcW w:w="5114" w:type="dxa"/>
            <w:tcBorders>
              <w:right w:val="single" w:color="auto" w:sz="4" w:space="0"/>
            </w:tcBorders>
            <w:vAlign w:val="center"/>
          </w:tcPr>
          <w:p w14:paraId="4545CD01">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始发地及目的地</w:t>
            </w:r>
          </w:p>
        </w:tc>
        <w:tc>
          <w:tcPr>
            <w:tcW w:w="1061" w:type="dxa"/>
            <w:tcBorders>
              <w:left w:val="single" w:color="auto" w:sz="4" w:space="0"/>
              <w:right w:val="single" w:color="auto" w:sz="4" w:space="0"/>
            </w:tcBorders>
            <w:vAlign w:val="center"/>
          </w:tcPr>
          <w:p w14:paraId="75ACE624">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运输距离</w:t>
            </w:r>
          </w:p>
        </w:tc>
        <w:tc>
          <w:tcPr>
            <w:tcW w:w="1065" w:type="dxa"/>
            <w:tcBorders>
              <w:left w:val="single" w:color="auto" w:sz="4" w:space="0"/>
            </w:tcBorders>
            <w:vAlign w:val="center"/>
          </w:tcPr>
          <w:p w14:paraId="00B87E97">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单价</w:t>
            </w:r>
            <w:r>
              <w:rPr>
                <w:rFonts w:hint="eastAsia" w:ascii="黑体" w:hAnsi="黑体" w:eastAsia="黑体"/>
                <w:sz w:val="21"/>
                <w:szCs w:val="21"/>
                <w:lang w:val="en-US" w:eastAsia="zh-CN"/>
              </w:rPr>
              <w:t xml:space="preserve">  </w:t>
            </w:r>
            <w:r>
              <w:rPr>
                <w:rFonts w:hint="eastAsia" w:ascii="黑体" w:hAnsi="黑体" w:eastAsia="黑体"/>
                <w:sz w:val="21"/>
                <w:szCs w:val="21"/>
              </w:rPr>
              <w:t>（元/吨）</w:t>
            </w:r>
          </w:p>
        </w:tc>
      </w:tr>
      <w:tr w14:paraId="395B2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5" w:type="dxa"/>
            <w:vAlign w:val="center"/>
          </w:tcPr>
          <w:p w14:paraId="3A4AB4AA">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r>
              <w:rPr>
                <w:rFonts w:hint="eastAsia" w:ascii="黑体" w:hAnsi="黑体" w:eastAsia="黑体"/>
                <w:sz w:val="21"/>
                <w:szCs w:val="21"/>
              </w:rPr>
              <w:t>1</w:t>
            </w:r>
          </w:p>
        </w:tc>
        <w:tc>
          <w:tcPr>
            <w:tcW w:w="895" w:type="dxa"/>
            <w:vAlign w:val="center"/>
          </w:tcPr>
          <w:p w14:paraId="6C958BCA">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eastAsia" w:ascii="黑体" w:hAnsi="黑体" w:eastAsia="黑体"/>
                <w:sz w:val="21"/>
                <w:szCs w:val="21"/>
                <w:lang w:val="en-US" w:eastAsia="zh-CN"/>
              </w:rPr>
            </w:pPr>
            <w:r>
              <w:rPr>
                <w:rFonts w:hint="eastAsia" w:ascii="黑体" w:hAnsi="黑体" w:eastAsia="黑体"/>
                <w:sz w:val="21"/>
                <w:szCs w:val="21"/>
                <w:lang w:val="en-US" w:eastAsia="zh-CN"/>
              </w:rPr>
              <w:t>工业硫酸</w:t>
            </w:r>
          </w:p>
        </w:tc>
        <w:tc>
          <w:tcPr>
            <w:tcW w:w="5114" w:type="dxa"/>
            <w:tcBorders>
              <w:right w:val="single" w:color="auto" w:sz="4" w:space="0"/>
            </w:tcBorders>
            <w:vAlign w:val="center"/>
          </w:tcPr>
          <w:p w14:paraId="21281ECE">
            <w:pPr>
              <w:pStyle w:val="22"/>
              <w:keepNext w:val="0"/>
              <w:keepLines w:val="0"/>
              <w:pageBreakBefore w:val="0"/>
              <w:widowControl/>
              <w:kinsoku/>
              <w:wordWrap/>
              <w:overflowPunct/>
              <w:topLinePunct w:val="0"/>
              <w:autoSpaceDE/>
              <w:autoSpaceDN/>
              <w:bidi w:val="0"/>
              <w:adjustRightInd/>
              <w:spacing w:before="120" w:line="500" w:lineRule="exact"/>
              <w:jc w:val="left"/>
              <w:textAlignment w:val="auto"/>
              <w:rPr>
                <w:rFonts w:hint="default" w:ascii="黑体" w:hAnsi="黑体" w:eastAsia="黑体"/>
                <w:sz w:val="21"/>
                <w:szCs w:val="21"/>
                <w:lang w:val="en-US" w:eastAsia="zh-CN"/>
              </w:rPr>
            </w:pPr>
            <w:r>
              <w:rPr>
                <w:rFonts w:hint="eastAsia" w:ascii="黑体" w:hAnsi="黑体" w:eastAsia="黑体"/>
                <w:sz w:val="21"/>
                <w:szCs w:val="21"/>
                <w:lang w:val="en-US" w:eastAsia="zh-CN"/>
              </w:rPr>
              <w:t>四川宏达股份有限公司什邡磷化工分公司硫酸厂至四川宏达股份有限公司什邡磷化工分公司复肥厂</w:t>
            </w:r>
          </w:p>
        </w:tc>
        <w:tc>
          <w:tcPr>
            <w:tcW w:w="1061" w:type="dxa"/>
            <w:tcBorders>
              <w:left w:val="single" w:color="auto" w:sz="4" w:space="0"/>
              <w:right w:val="single" w:color="auto" w:sz="4" w:space="0"/>
            </w:tcBorders>
            <w:vAlign w:val="center"/>
          </w:tcPr>
          <w:p w14:paraId="3CFAAFCB">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default" w:ascii="黑体" w:hAnsi="黑体" w:eastAsia="黑体"/>
                <w:sz w:val="21"/>
                <w:szCs w:val="21"/>
                <w:lang w:val="en-US" w:eastAsia="zh-CN"/>
              </w:rPr>
            </w:pPr>
            <w:r>
              <w:rPr>
                <w:rFonts w:hint="eastAsia" w:ascii="黑体" w:hAnsi="黑体" w:eastAsia="黑体"/>
                <w:sz w:val="21"/>
                <w:szCs w:val="21"/>
                <w:lang w:val="en-US" w:eastAsia="zh-CN"/>
              </w:rPr>
              <w:t>约0.5公里</w:t>
            </w:r>
          </w:p>
        </w:tc>
        <w:tc>
          <w:tcPr>
            <w:tcW w:w="1065" w:type="dxa"/>
            <w:tcBorders>
              <w:left w:val="single" w:color="auto" w:sz="4" w:space="0"/>
            </w:tcBorders>
            <w:vAlign w:val="center"/>
          </w:tcPr>
          <w:p w14:paraId="69AC43C7">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ascii="黑体" w:hAnsi="黑体" w:eastAsia="黑体"/>
                <w:sz w:val="21"/>
                <w:szCs w:val="21"/>
              </w:rPr>
            </w:pPr>
          </w:p>
        </w:tc>
      </w:tr>
      <w:tr w14:paraId="20287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90" w:type="dxa"/>
            <w:gridSpan w:val="2"/>
            <w:vAlign w:val="center"/>
          </w:tcPr>
          <w:p w14:paraId="315CABDE">
            <w:pPr>
              <w:pStyle w:val="22"/>
              <w:keepNext w:val="0"/>
              <w:keepLines w:val="0"/>
              <w:pageBreakBefore w:val="0"/>
              <w:widowControl/>
              <w:kinsoku/>
              <w:wordWrap/>
              <w:overflowPunct/>
              <w:topLinePunct w:val="0"/>
              <w:autoSpaceDE/>
              <w:autoSpaceDN/>
              <w:bidi w:val="0"/>
              <w:adjustRightInd/>
              <w:spacing w:before="120" w:line="500" w:lineRule="exact"/>
              <w:jc w:val="center"/>
              <w:textAlignment w:val="auto"/>
              <w:rPr>
                <w:rFonts w:hint="default" w:ascii="黑体" w:hAnsi="黑体" w:eastAsia="黑体"/>
                <w:sz w:val="21"/>
                <w:szCs w:val="21"/>
                <w:lang w:val="en-US" w:eastAsia="zh-CN"/>
              </w:rPr>
            </w:pPr>
            <w:r>
              <w:rPr>
                <w:rFonts w:hint="eastAsia" w:ascii="黑体" w:hAnsi="黑体" w:eastAsia="黑体"/>
                <w:sz w:val="21"/>
                <w:szCs w:val="21"/>
                <w:lang w:val="en-US" w:eastAsia="zh-CN"/>
              </w:rPr>
              <w:t>备注</w:t>
            </w:r>
          </w:p>
        </w:tc>
        <w:tc>
          <w:tcPr>
            <w:tcW w:w="7240" w:type="dxa"/>
            <w:gridSpan w:val="3"/>
            <w:vAlign w:val="center"/>
          </w:tcPr>
          <w:p w14:paraId="40CFC529">
            <w:pPr>
              <w:pStyle w:val="22"/>
              <w:keepNext w:val="0"/>
              <w:keepLines w:val="0"/>
              <w:pageBreakBefore w:val="0"/>
              <w:widowControl/>
              <w:kinsoku/>
              <w:wordWrap/>
              <w:overflowPunct/>
              <w:topLinePunct w:val="0"/>
              <w:autoSpaceDE/>
              <w:autoSpaceDN/>
              <w:bidi w:val="0"/>
              <w:adjustRightInd/>
              <w:spacing w:before="120" w:line="500" w:lineRule="exact"/>
              <w:jc w:val="left"/>
              <w:textAlignment w:val="auto"/>
              <w:rPr>
                <w:rFonts w:ascii="黑体" w:hAnsi="黑体" w:eastAsia="黑体"/>
                <w:sz w:val="21"/>
                <w:szCs w:val="21"/>
              </w:rPr>
            </w:pPr>
            <w:r>
              <w:rPr>
                <w:rFonts w:hint="eastAsia" w:ascii="黑体" w:hAnsi="黑体" w:eastAsia="黑体"/>
                <w:sz w:val="21"/>
                <w:szCs w:val="21"/>
                <w:lang w:val="en-US" w:eastAsia="zh-CN"/>
              </w:rPr>
              <w:t>车辆燃料类别：</w:t>
            </w:r>
          </w:p>
        </w:tc>
      </w:tr>
    </w:tbl>
    <w:p w14:paraId="07239B99">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1、一旦我方中标，我方愿意按照招标文件和招标</w:t>
      </w:r>
      <w:r>
        <w:rPr>
          <w:rFonts w:hint="eastAsia" w:ascii="黑体" w:hAnsi="黑体" w:eastAsia="黑体" w:cs="Segoe UI"/>
          <w:color w:val="4E5463"/>
          <w:sz w:val="28"/>
          <w:szCs w:val="28"/>
          <w:lang w:val="en-US" w:eastAsia="zh-CN"/>
        </w:rPr>
        <w:t>方</w:t>
      </w:r>
      <w:r>
        <w:rPr>
          <w:rFonts w:hint="eastAsia" w:ascii="黑体" w:hAnsi="黑体" w:eastAsia="黑体" w:cs="Segoe UI"/>
          <w:color w:val="4E5463"/>
          <w:sz w:val="28"/>
          <w:szCs w:val="28"/>
        </w:rPr>
        <w:t>的规定和要求签订运输合同，并信守合同、保证质量、如期交货。</w:t>
      </w:r>
    </w:p>
    <w:p w14:paraId="3AAE8B7A">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2、投标人同意按照招标</w:t>
      </w:r>
      <w:r>
        <w:rPr>
          <w:rFonts w:hint="eastAsia" w:ascii="黑体" w:hAnsi="黑体" w:eastAsia="黑体" w:cs="Segoe UI"/>
          <w:color w:val="4E5463"/>
          <w:sz w:val="28"/>
          <w:szCs w:val="28"/>
          <w:lang w:val="en-US" w:eastAsia="zh-CN"/>
        </w:rPr>
        <w:t>方</w:t>
      </w:r>
      <w:r>
        <w:rPr>
          <w:rFonts w:hint="eastAsia" w:ascii="黑体" w:hAnsi="黑体" w:eastAsia="黑体" w:cs="Segoe UI"/>
          <w:color w:val="4E5463"/>
          <w:sz w:val="28"/>
          <w:szCs w:val="28"/>
        </w:rPr>
        <w:t>的要求，严格遵守招标纪律，恪守招标</w:t>
      </w:r>
      <w:r>
        <w:rPr>
          <w:rFonts w:hint="eastAsia" w:ascii="黑体" w:hAnsi="黑体" w:eastAsia="黑体" w:cs="Segoe UI"/>
          <w:color w:val="4E5463"/>
          <w:sz w:val="28"/>
          <w:szCs w:val="28"/>
          <w:lang w:val="en-US" w:eastAsia="zh-CN"/>
        </w:rPr>
        <w:t>方</w:t>
      </w:r>
      <w:r>
        <w:rPr>
          <w:rFonts w:hint="eastAsia" w:ascii="黑体" w:hAnsi="黑体" w:eastAsia="黑体" w:cs="Segoe UI"/>
          <w:color w:val="4E5463"/>
          <w:sz w:val="28"/>
          <w:szCs w:val="28"/>
        </w:rPr>
        <w:t>的各项规定，保证投标工作的顺利进行。</w:t>
      </w:r>
    </w:p>
    <w:p w14:paraId="534DFFF0">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3、我方已经审查全部的招标文件，包括修改文件，以及全部的参考资料和有关附件，我方完全理解同意放弃对这方面有不明和误解的权利。</w:t>
      </w:r>
    </w:p>
    <w:p w14:paraId="4D1C414E">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 xml:space="preserve">地址：          邮编：            电话：           </w:t>
      </w:r>
    </w:p>
    <w:p w14:paraId="4FEC9D55">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ind w:firstLine="4760" w:firstLineChars="1700"/>
        <w:textAlignment w:val="auto"/>
        <w:rPr>
          <w:rFonts w:hint="eastAsia" w:ascii="黑体" w:hAnsi="黑体" w:eastAsia="黑体" w:cs="Segoe UI"/>
          <w:color w:val="4E5463"/>
          <w:sz w:val="28"/>
          <w:szCs w:val="28"/>
        </w:rPr>
      </w:pPr>
    </w:p>
    <w:p w14:paraId="742BA217">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ind w:firstLine="4760" w:firstLineChars="1700"/>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投标人名称（盖章）：</w:t>
      </w:r>
    </w:p>
    <w:p w14:paraId="55292C52">
      <w:pPr>
        <w:pStyle w:val="8"/>
        <w:keepNext w:val="0"/>
        <w:keepLines w:val="0"/>
        <w:pageBreakBefore w:val="0"/>
        <w:widowControl/>
        <w:kinsoku/>
        <w:wordWrap/>
        <w:overflowPunct/>
        <w:topLinePunct w:val="0"/>
        <w:autoSpaceDE/>
        <w:autoSpaceDN/>
        <w:bidi w:val="0"/>
        <w:adjustRightInd/>
        <w:spacing w:before="0" w:beforeAutospacing="0" w:after="0" w:afterAutospacing="0" w:line="500" w:lineRule="exact"/>
        <w:ind w:firstLine="4480" w:firstLineChars="1600"/>
        <w:textAlignment w:val="auto"/>
        <w:rPr>
          <w:rFonts w:hint="eastAsia" w:ascii="黑体" w:hAnsi="黑体" w:eastAsia="黑体" w:cs="Segoe UI"/>
          <w:color w:val="4E5463"/>
          <w:sz w:val="28"/>
          <w:szCs w:val="28"/>
        </w:rPr>
      </w:pPr>
      <w:r>
        <w:rPr>
          <w:rFonts w:hint="eastAsia" w:ascii="黑体" w:hAnsi="黑体" w:eastAsia="黑体" w:cs="Segoe UI"/>
          <w:color w:val="4E5463"/>
          <w:sz w:val="28"/>
          <w:szCs w:val="28"/>
        </w:rPr>
        <w:t>日期：    年   月   日</w:t>
      </w:r>
    </w:p>
    <w:p w14:paraId="72D3CC00">
      <w:pPr>
        <w:snapToGrid w:val="0"/>
        <w:spacing w:line="480" w:lineRule="auto"/>
        <w:jc w:val="both"/>
        <w:rPr>
          <w:rFonts w:hint="default" w:cs="黑体" w:asciiTheme="minorEastAsia" w:hAnsiTheme="minorEastAsia" w:eastAsiaTheme="minorEastAsia"/>
          <w:bCs/>
          <w:sz w:val="24"/>
          <w:szCs w:val="24"/>
          <w:lang w:val="en-US" w:eastAsia="zh-CN"/>
        </w:rPr>
      </w:pPr>
    </w:p>
    <w:p w14:paraId="03CEB065">
      <w:pPr>
        <w:snapToGrid w:val="0"/>
        <w:spacing w:line="480" w:lineRule="auto"/>
        <w:ind w:firstLine="2916" w:firstLineChars="1215"/>
        <w:jc w:val="right"/>
        <w:rPr>
          <w:rFonts w:cs="黑体" w:asciiTheme="minorEastAsia" w:hAnsiTheme="minorEastAsia" w:eastAsiaTheme="minorEastAsia"/>
          <w:bCs/>
          <w:sz w:val="24"/>
          <w:szCs w:val="24"/>
          <w:lang w:eastAsia="zh-CN"/>
        </w:rPr>
      </w:pPr>
    </w:p>
    <w:p w14:paraId="6AEEDC1B">
      <w:pPr>
        <w:snapToGrid w:val="0"/>
        <w:spacing w:line="480" w:lineRule="auto"/>
        <w:ind w:firstLine="2916" w:firstLineChars="1215"/>
        <w:jc w:val="right"/>
        <w:rPr>
          <w:rFonts w:cs="黑体" w:asciiTheme="minorEastAsia" w:hAnsiTheme="minorEastAsia" w:eastAsiaTheme="minorEastAsia"/>
          <w:bCs/>
          <w:sz w:val="24"/>
          <w:szCs w:val="24"/>
          <w:lang w:eastAsia="zh-CN"/>
        </w:rPr>
      </w:pPr>
    </w:p>
    <w:p w14:paraId="1CC82DEE">
      <w:pPr>
        <w:snapToGrid w:val="0"/>
        <w:spacing w:line="480" w:lineRule="auto"/>
        <w:ind w:firstLine="2916" w:firstLineChars="1215"/>
        <w:jc w:val="right"/>
        <w:rPr>
          <w:rFonts w:cs="黑体" w:asciiTheme="minorEastAsia" w:hAnsiTheme="minorEastAsia" w:eastAsiaTheme="minorEastAsia"/>
          <w:bCs/>
          <w:sz w:val="24"/>
          <w:szCs w:val="24"/>
          <w:lang w:eastAsia="zh-CN"/>
        </w:rPr>
      </w:pPr>
    </w:p>
    <w:p w14:paraId="4696D6B5">
      <w:pPr>
        <w:snapToGrid w:val="0"/>
        <w:spacing w:line="480" w:lineRule="auto"/>
        <w:ind w:firstLine="2916" w:firstLineChars="1215"/>
        <w:jc w:val="right"/>
        <w:rPr>
          <w:rFonts w:cs="黑体" w:asciiTheme="minorEastAsia" w:hAnsiTheme="minorEastAsia" w:eastAsiaTheme="minorEastAsia"/>
          <w:bCs/>
          <w:sz w:val="24"/>
          <w:szCs w:val="24"/>
          <w:lang w:eastAsia="zh-CN"/>
        </w:rPr>
      </w:pPr>
    </w:p>
    <w:p w14:paraId="06EC4BFF">
      <w:pPr>
        <w:widowControl/>
        <w:shd w:val="clear" w:color="auto" w:fill="FFFFFF"/>
        <w:tabs>
          <w:tab w:val="left" w:pos="5529"/>
          <w:tab w:val="left" w:pos="5670"/>
          <w:tab w:val="left" w:pos="5812"/>
        </w:tabs>
        <w:spacing w:line="360" w:lineRule="auto"/>
        <w:rPr>
          <w:sz w:val="24"/>
          <w:szCs w:val="24"/>
          <w:lang w:eastAsia="zh-CN"/>
        </w:rPr>
      </w:pPr>
    </w:p>
    <w:sectPr>
      <w:pgSz w:w="11906" w:h="16838"/>
      <w:pgMar w:top="1440" w:right="1526" w:bottom="1440"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FF"/>
    <w:rsid w:val="00014138"/>
    <w:rsid w:val="00016F19"/>
    <w:rsid w:val="0003177D"/>
    <w:rsid w:val="00035E98"/>
    <w:rsid w:val="00043C58"/>
    <w:rsid w:val="0004470E"/>
    <w:rsid w:val="000548A4"/>
    <w:rsid w:val="00087308"/>
    <w:rsid w:val="00097445"/>
    <w:rsid w:val="000C5A6E"/>
    <w:rsid w:val="000C72BC"/>
    <w:rsid w:val="000F26EA"/>
    <w:rsid w:val="0011014C"/>
    <w:rsid w:val="00156250"/>
    <w:rsid w:val="00171FB0"/>
    <w:rsid w:val="00175B79"/>
    <w:rsid w:val="00187085"/>
    <w:rsid w:val="001A1AA1"/>
    <w:rsid w:val="001D4955"/>
    <w:rsid w:val="001D7E58"/>
    <w:rsid w:val="001F683E"/>
    <w:rsid w:val="00204ACC"/>
    <w:rsid w:val="00233522"/>
    <w:rsid w:val="00273117"/>
    <w:rsid w:val="002830A9"/>
    <w:rsid w:val="00291761"/>
    <w:rsid w:val="002A174C"/>
    <w:rsid w:val="002A67E3"/>
    <w:rsid w:val="002A6C7D"/>
    <w:rsid w:val="0030571B"/>
    <w:rsid w:val="0035074D"/>
    <w:rsid w:val="00351499"/>
    <w:rsid w:val="00377A93"/>
    <w:rsid w:val="003A363F"/>
    <w:rsid w:val="003B0133"/>
    <w:rsid w:val="003D77D8"/>
    <w:rsid w:val="003E4A5B"/>
    <w:rsid w:val="0041707E"/>
    <w:rsid w:val="00427472"/>
    <w:rsid w:val="00432739"/>
    <w:rsid w:val="0044701B"/>
    <w:rsid w:val="00452259"/>
    <w:rsid w:val="004B542E"/>
    <w:rsid w:val="004C6CDB"/>
    <w:rsid w:val="004F05FF"/>
    <w:rsid w:val="005135A0"/>
    <w:rsid w:val="00520ED3"/>
    <w:rsid w:val="00571933"/>
    <w:rsid w:val="00574979"/>
    <w:rsid w:val="00581055"/>
    <w:rsid w:val="005A5638"/>
    <w:rsid w:val="005D2757"/>
    <w:rsid w:val="00601E94"/>
    <w:rsid w:val="006134E9"/>
    <w:rsid w:val="00633384"/>
    <w:rsid w:val="00641FA2"/>
    <w:rsid w:val="006420A1"/>
    <w:rsid w:val="00642DF0"/>
    <w:rsid w:val="0064636B"/>
    <w:rsid w:val="006669AF"/>
    <w:rsid w:val="006669CB"/>
    <w:rsid w:val="0068237B"/>
    <w:rsid w:val="00691E51"/>
    <w:rsid w:val="006E3928"/>
    <w:rsid w:val="006E6E4B"/>
    <w:rsid w:val="00701140"/>
    <w:rsid w:val="00770F58"/>
    <w:rsid w:val="007A2FEB"/>
    <w:rsid w:val="007A795E"/>
    <w:rsid w:val="0081734A"/>
    <w:rsid w:val="00821D0E"/>
    <w:rsid w:val="0083556B"/>
    <w:rsid w:val="008975D9"/>
    <w:rsid w:val="008A1BA2"/>
    <w:rsid w:val="008A7836"/>
    <w:rsid w:val="008F7B6E"/>
    <w:rsid w:val="0091118A"/>
    <w:rsid w:val="0091344F"/>
    <w:rsid w:val="00961125"/>
    <w:rsid w:val="00966ACD"/>
    <w:rsid w:val="00997CFA"/>
    <w:rsid w:val="009E2AE8"/>
    <w:rsid w:val="009F07BA"/>
    <w:rsid w:val="00A03B10"/>
    <w:rsid w:val="00A123C1"/>
    <w:rsid w:val="00A30853"/>
    <w:rsid w:val="00A868F2"/>
    <w:rsid w:val="00AC4EC9"/>
    <w:rsid w:val="00AF7C4D"/>
    <w:rsid w:val="00B62139"/>
    <w:rsid w:val="00B7117D"/>
    <w:rsid w:val="00B979C2"/>
    <w:rsid w:val="00BD12E5"/>
    <w:rsid w:val="00BD57B9"/>
    <w:rsid w:val="00BE2866"/>
    <w:rsid w:val="00BF16F4"/>
    <w:rsid w:val="00C04DE2"/>
    <w:rsid w:val="00C37462"/>
    <w:rsid w:val="00C6333C"/>
    <w:rsid w:val="00C63615"/>
    <w:rsid w:val="00C73639"/>
    <w:rsid w:val="00C94C7F"/>
    <w:rsid w:val="00CE6814"/>
    <w:rsid w:val="00CF4A6F"/>
    <w:rsid w:val="00D462A5"/>
    <w:rsid w:val="00D63035"/>
    <w:rsid w:val="00D73E67"/>
    <w:rsid w:val="00D96AA6"/>
    <w:rsid w:val="00DA7FED"/>
    <w:rsid w:val="00DB19FB"/>
    <w:rsid w:val="00DD7DF5"/>
    <w:rsid w:val="00DF0075"/>
    <w:rsid w:val="00DF5ADD"/>
    <w:rsid w:val="00E03BEF"/>
    <w:rsid w:val="00E23DF3"/>
    <w:rsid w:val="00E43453"/>
    <w:rsid w:val="00E67DE4"/>
    <w:rsid w:val="00E96016"/>
    <w:rsid w:val="00EB340A"/>
    <w:rsid w:val="00EC5A51"/>
    <w:rsid w:val="00F215EB"/>
    <w:rsid w:val="00F4332E"/>
    <w:rsid w:val="00F62321"/>
    <w:rsid w:val="00FA0D9F"/>
    <w:rsid w:val="00FB04F7"/>
    <w:rsid w:val="00FB18F3"/>
    <w:rsid w:val="00FD012D"/>
    <w:rsid w:val="00FE3C5B"/>
    <w:rsid w:val="00FE6BB3"/>
    <w:rsid w:val="00FF4642"/>
    <w:rsid w:val="00FF5524"/>
    <w:rsid w:val="016524FB"/>
    <w:rsid w:val="01B07784"/>
    <w:rsid w:val="02464439"/>
    <w:rsid w:val="02704AC1"/>
    <w:rsid w:val="04405C72"/>
    <w:rsid w:val="05746676"/>
    <w:rsid w:val="07840C3D"/>
    <w:rsid w:val="0AB56E5C"/>
    <w:rsid w:val="0ACC3F78"/>
    <w:rsid w:val="12144468"/>
    <w:rsid w:val="15EC04AB"/>
    <w:rsid w:val="16A871AC"/>
    <w:rsid w:val="17E07B9B"/>
    <w:rsid w:val="1AA504F5"/>
    <w:rsid w:val="1C936564"/>
    <w:rsid w:val="1D9F104A"/>
    <w:rsid w:val="1FCF6BD7"/>
    <w:rsid w:val="20BD1CE6"/>
    <w:rsid w:val="235710DF"/>
    <w:rsid w:val="239302AC"/>
    <w:rsid w:val="2E7726CF"/>
    <w:rsid w:val="2F9A35C6"/>
    <w:rsid w:val="33BB07A1"/>
    <w:rsid w:val="36C60F27"/>
    <w:rsid w:val="392C5611"/>
    <w:rsid w:val="3A685AA2"/>
    <w:rsid w:val="3C6D7836"/>
    <w:rsid w:val="3D8949C3"/>
    <w:rsid w:val="3E546750"/>
    <w:rsid w:val="3F010069"/>
    <w:rsid w:val="42DE7867"/>
    <w:rsid w:val="46582E6F"/>
    <w:rsid w:val="49D5278B"/>
    <w:rsid w:val="4A691D8F"/>
    <w:rsid w:val="4AAE5FCB"/>
    <w:rsid w:val="4AFB363A"/>
    <w:rsid w:val="4C962A61"/>
    <w:rsid w:val="4D357A66"/>
    <w:rsid w:val="4D780CAC"/>
    <w:rsid w:val="4D820677"/>
    <w:rsid w:val="4D986247"/>
    <w:rsid w:val="552073BA"/>
    <w:rsid w:val="5D9C0136"/>
    <w:rsid w:val="61030C17"/>
    <w:rsid w:val="65010E95"/>
    <w:rsid w:val="66C00A1F"/>
    <w:rsid w:val="66C13CC1"/>
    <w:rsid w:val="68834D32"/>
    <w:rsid w:val="69163295"/>
    <w:rsid w:val="6BCE4EB6"/>
    <w:rsid w:val="6F91290B"/>
    <w:rsid w:val="70E52EEE"/>
    <w:rsid w:val="72454B56"/>
    <w:rsid w:val="73D6524F"/>
    <w:rsid w:val="74CD288F"/>
    <w:rsid w:val="75A43018"/>
    <w:rsid w:val="797F5A41"/>
    <w:rsid w:val="7EA5293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9"/>
    <w:pPr>
      <w:keepNext/>
      <w:outlineLvl w:val="0"/>
    </w:pPr>
    <w:rPr>
      <w:rFonts w:eastAsia="仿宋_GB2312"/>
      <w:sz w:val="24"/>
    </w:rPr>
  </w:style>
  <w:style w:type="paragraph" w:styleId="3">
    <w:name w:val="heading 2"/>
    <w:basedOn w:val="1"/>
    <w:next w:val="1"/>
    <w:qFormat/>
    <w:uiPriority w:val="99"/>
    <w:pPr>
      <w:keepNext/>
      <w:jc w:val="center"/>
      <w:outlineLvl w:val="1"/>
    </w:pPr>
    <w:rPr>
      <w:rFonts w:eastAsia="仿宋_GB2312"/>
      <w:sz w:val="24"/>
      <w:szCs w:val="20"/>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1"/>
    <w:qFormat/>
    <w:uiPriority w:val="0"/>
    <w:pPr>
      <w:kinsoku w:val="0"/>
      <w:adjustRightInd w:val="0"/>
      <w:spacing w:after="120"/>
      <w:textAlignment w:val="baseline"/>
    </w:pPr>
    <w:rPr>
      <w:sz w:val="21"/>
    </w:rPr>
  </w:style>
  <w:style w:type="paragraph" w:styleId="5">
    <w:name w:val="Date"/>
    <w:basedOn w:val="1"/>
    <w:next w:val="1"/>
    <w:link w:val="14"/>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autoSpaceDE/>
      <w:autoSpaceDN/>
      <w:spacing w:before="100" w:beforeAutospacing="1" w:after="100" w:afterAutospacing="1"/>
    </w:pPr>
    <w:rPr>
      <w:sz w:val="24"/>
      <w:szCs w:val="24"/>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u w:val="single"/>
    </w:rPr>
  </w:style>
  <w:style w:type="character" w:customStyle="1" w:styleId="14">
    <w:name w:val="日期 字符"/>
    <w:basedOn w:val="11"/>
    <w:link w:val="5"/>
    <w:semiHidden/>
    <w:qFormat/>
    <w:uiPriority w:val="99"/>
    <w:rPr>
      <w:rFonts w:ascii="宋体" w:hAnsi="宋体" w:eastAsia="宋体" w:cs="宋体"/>
      <w:kern w:val="0"/>
      <w:sz w:val="22"/>
      <w:lang w:eastAsia="en-US"/>
    </w:rPr>
  </w:style>
  <w:style w:type="paragraph" w:styleId="15">
    <w:name w:val="List Paragraph"/>
    <w:basedOn w:val="1"/>
    <w:qFormat/>
    <w:uiPriority w:val="34"/>
    <w:pPr>
      <w:ind w:firstLine="420" w:firstLineChars="200"/>
    </w:pPr>
  </w:style>
  <w:style w:type="paragraph" w:customStyle="1" w:styleId="16">
    <w:name w:val="p18"/>
    <w:basedOn w:val="1"/>
    <w:qFormat/>
    <w:uiPriority w:val="0"/>
    <w:pPr>
      <w:widowControl/>
      <w:spacing w:line="400" w:lineRule="atLeast"/>
      <w:jc w:val="center"/>
    </w:pPr>
    <w:rPr>
      <w:rFonts w:ascii="Arial" w:hAnsi="Arial" w:cs="Arial"/>
      <w:sz w:val="24"/>
    </w:rPr>
  </w:style>
  <w:style w:type="character" w:customStyle="1" w:styleId="17">
    <w:name w:val="NormalCharacter"/>
    <w:semiHidden/>
    <w:qFormat/>
    <w:uiPriority w:val="0"/>
  </w:style>
  <w:style w:type="character" w:customStyle="1" w:styleId="18">
    <w:name w:val="Unresolved Mention"/>
    <w:basedOn w:val="11"/>
    <w:semiHidden/>
    <w:unhideWhenUsed/>
    <w:qFormat/>
    <w:uiPriority w:val="99"/>
    <w:rPr>
      <w:color w:val="605E5C"/>
      <w:shd w:val="clear" w:color="auto" w:fill="E1DFDD"/>
    </w:rPr>
  </w:style>
  <w:style w:type="character" w:customStyle="1" w:styleId="19">
    <w:name w:val="页眉 字符"/>
    <w:basedOn w:val="11"/>
    <w:link w:val="7"/>
    <w:qFormat/>
    <w:uiPriority w:val="99"/>
    <w:rPr>
      <w:rFonts w:ascii="宋体" w:hAnsi="宋体" w:eastAsia="宋体" w:cs="宋体"/>
      <w:sz w:val="18"/>
      <w:szCs w:val="18"/>
      <w:lang w:eastAsia="en-US"/>
    </w:rPr>
  </w:style>
  <w:style w:type="character" w:customStyle="1" w:styleId="20">
    <w:name w:val="页脚 字符"/>
    <w:basedOn w:val="11"/>
    <w:link w:val="6"/>
    <w:qFormat/>
    <w:uiPriority w:val="99"/>
    <w:rPr>
      <w:rFonts w:ascii="宋体" w:hAnsi="宋体" w:eastAsia="宋体" w:cs="宋体"/>
      <w:sz w:val="18"/>
      <w:szCs w:val="18"/>
      <w:lang w:eastAsia="en-US"/>
    </w:rPr>
  </w:style>
  <w:style w:type="paragraph" w:customStyle="1" w:styleId="21">
    <w:name w:val="样式 小四 行距: 1.5 倍行距"/>
    <w:basedOn w:val="1"/>
    <w:qFormat/>
    <w:uiPriority w:val="0"/>
    <w:pPr>
      <w:ind w:firstLine="480" w:firstLineChars="200"/>
    </w:pPr>
    <w:rPr>
      <w:rFonts w:cs="宋体"/>
    </w:rPr>
  </w:style>
  <w:style w:type="paragraph" w:customStyle="1" w:styleId="22">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832</Words>
  <Characters>917</Characters>
  <Lines>17</Lines>
  <Paragraphs>4</Paragraphs>
  <TotalTime>44</TotalTime>
  <ScaleCrop>false</ScaleCrop>
  <LinksUpToDate>false</LinksUpToDate>
  <CharactersWithSpaces>1111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2025-07-09T09:17:00Z</dcterms:created>
  <dc:creator>张志伟</dc:creator>
  <cp:lastModifiedBy>王世平</cp:lastModifiedBy>
  <dcterms:modified xsi:type="dcterms:W3CDTF">2025-07-31T06:21:40Z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3946ED8938EC4BACB9A35C48A350849B_13</vt:lpwstr>
  </property>
  <property fmtid="{D5CDD505-2E9C-101B-9397-08002B2CF9AE}" pid="4" name="KSOTemplateDocerSaveRecord">
    <vt:lpwstr>eyJoZGlkIjoiZThmNjAzMWJlZjFkMmQwODUwMTJkYzE2ODFiYmFmYTciLCJ1c2VySWQiOiI1NTAzNTMwNTcifQ==</vt:lpwstr>
  </property>
</Properties>
</file>