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72B9">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有色金属分公司</w:t>
      </w:r>
    </w:p>
    <w:p w14:paraId="3E5A19FE">
      <w:pPr>
        <w:autoSpaceDE w:val="0"/>
        <w:autoSpaceDN w:val="0"/>
        <w:adjustRightInd w:val="0"/>
        <w:spacing w:before="100" w:after="100"/>
        <w:jc w:val="center"/>
        <w:rPr>
          <w:rFonts w:hint="default" w:cs="黑体" w:asciiTheme="minorEastAsia" w:hAnsiTheme="minorEastAsia" w:eastAsiaTheme="minorEastAsia"/>
          <w:color w:val="auto"/>
          <w:sz w:val="84"/>
          <w:szCs w:val="84"/>
          <w:highlight w:val="none"/>
          <w:lang w:val="en-US"/>
        </w:rPr>
      </w:pPr>
      <w:r>
        <w:rPr>
          <w:rFonts w:hint="eastAsia" w:ascii="宋体" w:hAnsi="宋体" w:eastAsia="宋体" w:cs="宋体"/>
          <w:b/>
          <w:bCs/>
          <w:color w:val="auto"/>
          <w:sz w:val="48"/>
          <w:szCs w:val="48"/>
          <w:highlight w:val="none"/>
          <w:lang w:val="en-US" w:eastAsia="zh-CN"/>
        </w:rPr>
        <w:t>地下水年度检测服务采购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编号：YS-GKBX-2025-FW30</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有色金属分公司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7</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31</w:t>
      </w:r>
      <w:r>
        <w:rPr>
          <w:rFonts w:hint="eastAsia" w:cs="黑体" w:asciiTheme="minorEastAsia" w:hAnsiTheme="minorEastAsia" w:eastAsiaTheme="minorEastAsia"/>
          <w:b/>
          <w:bCs/>
          <w:color w:val="auto"/>
          <w:sz w:val="30"/>
          <w:szCs w:val="30"/>
          <w:highlight w:val="none"/>
          <w:lang w:val="en-US" w:eastAsia="zh-CN"/>
        </w:rPr>
        <w:t>日</w:t>
      </w:r>
    </w:p>
    <w:p w14:paraId="2E01371C">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lang w:val="en-US" w:eastAsia="zh-CN"/>
        </w:rPr>
        <w:t>有色金属分</w:t>
      </w:r>
      <w:r>
        <w:rPr>
          <w:rFonts w:hint="eastAsia" w:ascii="黑体" w:hAnsi="黑体" w:eastAsia="黑体" w:cs="宋体"/>
          <w:b/>
          <w:color w:val="auto"/>
          <w:kern w:val="0"/>
          <w:sz w:val="32"/>
          <w:szCs w:val="32"/>
        </w:rPr>
        <w:t>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地下水年度检测服务</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编号：YS-GKBX-2025-FW30</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由四川宏达股份有限公司有色金属分公司因生产需对地下水年度检测服务采购，本着“公开、公平、公正”的原则，现对地下水年度检测服务进行公开比选</w:t>
      </w:r>
      <w:r>
        <w:rPr>
          <w:rFonts w:hint="eastAsia" w:ascii="黑体" w:hAnsi="黑体" w:eastAsia="黑体" w:cs="宋体"/>
          <w:color w:val="auto"/>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地下水年度检测服务</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w:t>
      </w:r>
      <w:r>
        <w:rPr>
          <w:rFonts w:hint="eastAsia" w:ascii="黑体" w:hAnsi="黑体" w:eastAsia="黑体" w:cs="宋体"/>
          <w:color w:val="auto"/>
          <w:kern w:val="0"/>
          <w:sz w:val="28"/>
          <w:szCs w:val="28"/>
          <w:lang w:val="en-US" w:eastAsia="zh-CN"/>
        </w:rPr>
        <w:t>有色金属分公司</w:t>
      </w:r>
      <w:r>
        <w:rPr>
          <w:rFonts w:hint="eastAsia" w:ascii="黑体" w:hAnsi="黑体" w:eastAsia="黑体" w:cs="宋体"/>
          <w:color w:val="auto"/>
          <w:kern w:val="0"/>
          <w:sz w:val="28"/>
          <w:szCs w:val="28"/>
        </w:rPr>
        <w:t xml:space="preserve">  </w:t>
      </w:r>
    </w:p>
    <w:p w14:paraId="67EB3B3D">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6AF89CE7">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1、参与投标的服务单位应当具备下列条件： </w:t>
      </w:r>
    </w:p>
    <w:p w14:paraId="65811F7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（一）能够独立承担民事责任； </w:t>
      </w:r>
    </w:p>
    <w:p w14:paraId="10377E96">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（二）具有检验检测机构资质认定证书（CMA）</w:t>
      </w:r>
    </w:p>
    <w:p w14:paraId="00932954">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2.服务</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有色金属分公司（什邡市师古镇）</w:t>
      </w:r>
    </w:p>
    <w:p w14:paraId="65D426B4">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lang w:val="en-US" w:eastAsia="zh-CN"/>
        </w:rPr>
        <w:t>服务</w:t>
      </w:r>
      <w:r>
        <w:rPr>
          <w:rFonts w:hint="eastAsia" w:ascii="黑体" w:hAnsi="黑体" w:eastAsia="黑体" w:cs="宋体"/>
          <w:color w:val="auto"/>
          <w:kern w:val="0"/>
          <w:sz w:val="28"/>
          <w:szCs w:val="28"/>
        </w:rPr>
        <w:t>期：</w:t>
      </w:r>
      <w:r>
        <w:rPr>
          <w:rFonts w:hint="eastAsia" w:ascii="黑体" w:hAnsi="黑体" w:eastAsia="黑体" w:cs="Times New Roman"/>
          <w:color w:val="auto"/>
          <w:sz w:val="28"/>
          <w:szCs w:val="28"/>
          <w:lang w:val="en-US" w:eastAsia="zh-CN"/>
        </w:rPr>
        <w:t>合同签订后至2025年12月31日</w:t>
      </w:r>
      <w:r>
        <w:rPr>
          <w:rFonts w:hint="eastAsia" w:ascii="黑体" w:hAnsi="黑体" w:eastAsia="黑体" w:cs="宋体"/>
          <w:color w:val="auto"/>
          <w:kern w:val="1"/>
          <w:sz w:val="28"/>
          <w:szCs w:val="28"/>
        </w:rPr>
        <w:t>。</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黑体"/>
          <w:color w:val="auto"/>
          <w:sz w:val="28"/>
          <w:szCs w:val="28"/>
          <w:lang w:eastAsia="zh-CN"/>
        </w:rPr>
        <w:t>以银行电汇或银行电子承兑汇票支付。</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获取方式为：自 2025年7月31日15时 00 分至 2025年 8月4日 9时 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响应性文件的递交</w:t>
      </w:r>
    </w:p>
    <w:p w14:paraId="03D00619">
      <w:p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递交截止时间：2025年8月4日 9 时 00 分。</w:t>
      </w:r>
    </w:p>
    <w:p w14:paraId="0E7C9B66">
      <w:pPr>
        <w:spacing w:line="420" w:lineRule="exact"/>
        <w:rPr>
          <w:rFonts w:hint="eastAsia" w:ascii="黑体" w:hAnsi="黑体" w:eastAsia="黑体" w:cs="仿宋_GB2312"/>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w:t>
      </w:r>
      <w:r>
        <w:rPr>
          <w:rFonts w:hint="eastAsia" w:ascii="黑体" w:hAnsi="黑体" w:eastAsia="黑体" w:cs="黑体"/>
          <w:color w:val="auto"/>
          <w:kern w:val="0"/>
          <w:sz w:val="28"/>
          <w:szCs w:val="28"/>
          <w:lang w:val="en-US" w:eastAsia="zh-CN"/>
        </w:rPr>
        <w:t>比选</w:t>
      </w:r>
      <w:r>
        <w:rPr>
          <w:rFonts w:hint="eastAsia" w:ascii="黑体" w:hAnsi="黑体" w:eastAsia="黑体" w:cs="黑体"/>
          <w:color w:val="auto"/>
          <w:kern w:val="0"/>
          <w:sz w:val="28"/>
          <w:szCs w:val="28"/>
        </w:rPr>
        <w:t>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kern w:val="0"/>
          <w:sz w:val="28"/>
          <w:szCs w:val="28"/>
        </w:rPr>
        <w:t>标的物名称、</w:t>
      </w:r>
      <w:r>
        <w:rPr>
          <w:rFonts w:hint="eastAsia" w:ascii="黑体" w:hAnsi="黑体" w:eastAsia="黑体" w:cs="黑体"/>
          <w:color w:val="auto"/>
          <w:sz w:val="28"/>
          <w:szCs w:val="28"/>
        </w:rPr>
        <w:t>单价（</w:t>
      </w:r>
      <w:r>
        <w:rPr>
          <w:rFonts w:hint="eastAsia" w:ascii="黑体" w:hAnsi="黑体" w:eastAsia="黑体" w:cs="黑体"/>
          <w:color w:val="auto"/>
          <w:sz w:val="28"/>
          <w:szCs w:val="28"/>
          <w:lang w:val="en-US" w:eastAsia="zh-CN"/>
        </w:rPr>
        <w:t>含</w:t>
      </w:r>
      <w:r>
        <w:rPr>
          <w:rFonts w:hint="eastAsia" w:ascii="黑体" w:hAnsi="黑体" w:eastAsia="黑体" w:cs="黑体"/>
          <w:color w:val="auto"/>
          <w:sz w:val="28"/>
          <w:szCs w:val="28"/>
        </w:rPr>
        <w:t>税</w:t>
      </w:r>
      <w:r>
        <w:rPr>
          <w:rFonts w:hint="eastAsia" w:ascii="黑体" w:hAnsi="黑体" w:eastAsia="黑体" w:cs="黑体"/>
          <w:color w:val="auto"/>
          <w:sz w:val="28"/>
          <w:szCs w:val="28"/>
          <w:lang w:val="en-US" w:eastAsia="zh-CN"/>
        </w:rPr>
        <w:t>价</w:t>
      </w:r>
      <w:r>
        <w:rPr>
          <w:rFonts w:hint="eastAsia" w:ascii="黑体" w:hAnsi="黑体" w:eastAsia="黑体" w:cs="黑体"/>
          <w:color w:val="auto"/>
          <w:sz w:val="28"/>
          <w:szCs w:val="28"/>
        </w:rPr>
        <w:t>）、合计金额、</w:t>
      </w:r>
      <w:r>
        <w:rPr>
          <w:rFonts w:hint="eastAsia" w:ascii="黑体" w:hAnsi="黑体" w:eastAsia="黑体" w:cs="黑体"/>
          <w:color w:val="auto"/>
          <w:sz w:val="28"/>
          <w:szCs w:val="28"/>
          <w:lang w:val="en-US" w:eastAsia="zh-CN"/>
        </w:rPr>
        <w:t>服务</w:t>
      </w:r>
      <w:r>
        <w:rPr>
          <w:rFonts w:hint="eastAsia" w:ascii="黑体" w:hAnsi="黑体" w:eastAsia="黑体" w:cs="黑体"/>
          <w:color w:val="auto"/>
          <w:sz w:val="28"/>
          <w:szCs w:val="28"/>
        </w:rPr>
        <w:t>期、付款方式等（若询价约定的标的物交货期、付款方式、质保期</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539C008C">
      <w:pPr>
        <w:numPr>
          <w:ilvl w:val="0"/>
          <w:numId w:val="0"/>
        </w:numPr>
        <w:spacing w:line="420" w:lineRule="exact"/>
        <w:ind w:leftChars="0"/>
        <w:rPr>
          <w:rFonts w:ascii="黑体" w:hAnsi="黑体" w:eastAsia="黑体" w:cs="Segoe UI"/>
          <w:color w:val="auto"/>
          <w:kern w:val="0"/>
          <w:sz w:val="28"/>
          <w:szCs w:val="28"/>
        </w:rPr>
      </w:pPr>
      <w:r>
        <w:rPr>
          <w:rFonts w:hint="eastAsia" w:ascii="黑体" w:hAnsi="黑体" w:eastAsia="黑体" w:cs="仿宋_GB2312"/>
          <w:color w:val="auto"/>
          <w:sz w:val="28"/>
          <w:szCs w:val="28"/>
          <w:lang w:val="en-US" w:eastAsia="zh-CN"/>
        </w:rPr>
        <w:t>②提供相关服务业绩（附中标通知书或合同扫描件，中标通知书或合同包括已履约完成和正在履约均可，同一家</w:t>
      </w:r>
      <w:r>
        <w:rPr>
          <w:rFonts w:hint="eastAsia" w:ascii="黑体" w:hAnsi="黑体" w:eastAsia="黑体" w:cs="Segoe UI"/>
          <w:color w:val="auto"/>
          <w:kern w:val="0"/>
          <w:sz w:val="28"/>
          <w:szCs w:val="28"/>
        </w:rPr>
        <w:t>单位多次</w:t>
      </w:r>
      <w:r>
        <w:rPr>
          <w:rFonts w:hint="eastAsia" w:ascii="黑体" w:hAnsi="黑体" w:eastAsia="黑体" w:cs="Segoe UI"/>
          <w:color w:val="auto"/>
          <w:kern w:val="0"/>
          <w:sz w:val="28"/>
          <w:szCs w:val="28"/>
          <w:lang w:val="en-US" w:eastAsia="zh-CN"/>
        </w:rPr>
        <w:t>服务</w:t>
      </w:r>
      <w:r>
        <w:rPr>
          <w:rFonts w:hint="eastAsia" w:ascii="黑体" w:hAnsi="黑体" w:eastAsia="黑体" w:cs="Segoe UI"/>
          <w:color w:val="auto"/>
          <w:kern w:val="0"/>
          <w:sz w:val="28"/>
          <w:szCs w:val="28"/>
        </w:rPr>
        <w:t>，合同数量可累计）。</w:t>
      </w: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val="en-US" w:eastAsia="zh-CN"/>
        </w:rPr>
        <w:t>0</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b/>
          <w:bCs/>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程康15282839809  技术：吴少荣13890278137</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地 址：四川省德阳市什邡市</w:t>
      </w:r>
      <w:r>
        <w:rPr>
          <w:rFonts w:hint="eastAsia" w:ascii="黑体" w:hAnsi="黑体" w:eastAsia="黑体" w:cs="宋体"/>
          <w:color w:val="auto"/>
          <w:kern w:val="0"/>
          <w:sz w:val="28"/>
          <w:szCs w:val="28"/>
          <w:lang w:val="en-US" w:eastAsia="zh-CN"/>
        </w:rPr>
        <w:t>师古</w:t>
      </w:r>
      <w:r>
        <w:rPr>
          <w:rFonts w:hint="eastAsia" w:ascii="黑体" w:hAnsi="黑体" w:eastAsia="黑体" w:cs="宋体"/>
          <w:color w:val="auto"/>
          <w:kern w:val="0"/>
          <w:sz w:val="28"/>
          <w:szCs w:val="28"/>
        </w:rPr>
        <w:t xml:space="preserve">镇          邮 编：618401           </w:t>
      </w:r>
    </w:p>
    <w:p w14:paraId="0BEE090F">
      <w:pPr>
        <w:pStyle w:val="5"/>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5"/>
        <w:rPr>
          <w:color w:val="auto"/>
        </w:rPr>
      </w:pPr>
    </w:p>
    <w:p w14:paraId="66F7E5C6">
      <w:pPr>
        <w:spacing w:line="420" w:lineRule="exact"/>
        <w:ind w:firstLine="5880" w:firstLineChars="2100"/>
        <w:rPr>
          <w:rFonts w:hint="default" w:ascii="黑体" w:hAnsi="黑体" w:eastAsia="黑体" w:cs="宋体"/>
          <w:color w:val="auto"/>
          <w:kern w:val="0"/>
          <w:sz w:val="28"/>
          <w:szCs w:val="28"/>
          <w:lang w:val="en-US" w:eastAsia="zh-CN"/>
        </w:rPr>
      </w:pPr>
      <w:bookmarkStart w:id="15" w:name="_GoBack"/>
      <w:bookmarkEnd w:id="15"/>
      <w:r>
        <w:rPr>
          <w:rFonts w:hint="eastAsia" w:ascii="黑体" w:hAnsi="黑体" w:eastAsia="黑体" w:cs="宋体"/>
          <w:color w:val="auto"/>
          <w:kern w:val="0"/>
          <w:sz w:val="28"/>
          <w:szCs w:val="28"/>
          <w:lang w:val="en-US" w:eastAsia="zh-CN"/>
        </w:rPr>
        <w:t>有色金属分公司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31</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49"/>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3C42125">
      <w:pPr>
        <w:spacing w:line="360" w:lineRule="exact"/>
        <w:rPr>
          <w:rFonts w:hint="eastAsia" w:ascii="黑体" w:hAnsi="黑体" w:eastAsia="黑体" w:cs="宋体"/>
          <w:b/>
          <w:color w:val="auto"/>
          <w:kern w:val="0"/>
          <w:sz w:val="28"/>
          <w:szCs w:val="28"/>
        </w:rPr>
      </w:pPr>
    </w:p>
    <w:p w14:paraId="64827940">
      <w:pPr>
        <w:spacing w:line="360" w:lineRule="exact"/>
        <w:rPr>
          <w:rFonts w:hint="eastAsia" w:ascii="黑体" w:hAnsi="黑体" w:eastAsia="黑体" w:cs="宋体"/>
          <w:b/>
          <w:color w:val="auto"/>
          <w:kern w:val="0"/>
          <w:sz w:val="28"/>
          <w:szCs w:val="28"/>
        </w:rPr>
      </w:pPr>
    </w:p>
    <w:p w14:paraId="5EE89FF4">
      <w:pPr>
        <w:jc w:val="both"/>
        <w:rPr>
          <w:rFonts w:hint="eastAsia" w:ascii="宋体" w:hAnsi="宋体" w:cs="仿宋" w:eastAsiaTheme="minorEastAsia"/>
          <w:color w:val="auto"/>
          <w:szCs w:val="21"/>
          <w:lang w:val="en-US" w:eastAsia="zh-CN"/>
        </w:rPr>
      </w:pPr>
      <w:bookmarkStart w:id="2" w:name="_Toc275019684"/>
      <w:bookmarkStart w:id="3" w:name="_Toc318986166"/>
      <w:bookmarkStart w:id="4" w:name="_Toc238797630"/>
      <w:bookmarkStart w:id="5" w:name="_Toc268793030"/>
      <w:bookmarkStart w:id="6" w:name="_Toc269113527"/>
      <w:bookmarkStart w:id="7" w:name="_Toc274236999"/>
      <w:bookmarkStart w:id="8" w:name="_Toc275019836"/>
      <w:bookmarkStart w:id="9" w:name="_Toc238552273"/>
      <w:bookmarkStart w:id="10" w:name="_Toc274596702"/>
      <w:bookmarkStart w:id="11" w:name="_Toc275019290"/>
      <w:bookmarkStart w:id="12" w:name="_Toc16684"/>
      <w:bookmarkStart w:id="13" w:name="_Toc275014947"/>
      <w:bookmarkStart w:id="14" w:name="_Toc303149804"/>
      <w:r>
        <w:rPr>
          <w:rFonts w:hint="eastAsia" w:ascii="宋体" w:hAnsi="宋体"/>
          <w:color w:val="auto"/>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11375BDB">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lang w:val="en-US" w:eastAsia="zh-CN"/>
        </w:rPr>
        <w:t>地下水年度检测服务</w:t>
      </w: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078365C6">
      <w:pPr>
        <w:kinsoku/>
        <w:overflowPunct/>
        <w:topLinePunct w:val="0"/>
        <w:bidi w:val="0"/>
        <w:ind w:left="0" w:leftChars="0" w:right="0" w:rightChars="0" w:firstLine="562" w:firstLineChars="200"/>
        <w:jc w:val="left"/>
        <w:rPr>
          <w:rFonts w:hint="default" w:ascii="宋体" w:hAnsi="宋体" w:cs="宋体" w:eastAsiaTheme="minorEastAsia"/>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营业执照及资质文件</w:t>
      </w: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1、</w:t>
      </w:r>
    </w:p>
    <w:p w14:paraId="7C6ABE72">
      <w:pPr>
        <w:rPr>
          <w:rFonts w:hint="eastAsia" w:ascii="宋体" w:hAnsi="宋体" w:eastAsia="宋体"/>
          <w:b/>
          <w:color w:val="auto"/>
          <w:lang w:val="en-US" w:eastAsia="zh-CN"/>
        </w:rPr>
      </w:pPr>
    </w:p>
    <w:p w14:paraId="79E6E945">
      <w:pPr>
        <w:pStyle w:val="50"/>
        <w:numPr>
          <w:ilvl w:val="0"/>
          <w:numId w:val="1"/>
        </w:numPr>
        <w:kinsoku/>
        <w:overflowPunct/>
        <w:topLinePunct w:val="0"/>
        <w:bidi w:val="0"/>
        <w:spacing w:line="360" w:lineRule="auto"/>
        <w:ind w:left="0" w:leftChars="0" w:right="0" w:rightChars="0" w:firstLine="0" w:firstLineChars="0"/>
        <w:jc w:val="center"/>
        <w:rPr>
          <w:rFonts w:hint="eastAsia" w:ascii="宋体" w:hAnsi="宋体" w:eastAsia="宋体"/>
          <w:b/>
          <w:color w:val="auto"/>
        </w:rPr>
      </w:pPr>
      <w:r>
        <w:rPr>
          <w:rFonts w:hint="eastAsia" w:ascii="宋体" w:hAnsi="宋体" w:eastAsia="宋体"/>
          <w:b/>
          <w:color w:val="auto"/>
        </w:rPr>
        <w:t>报价表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9"/>
        <w:gridCol w:w="4092"/>
        <w:gridCol w:w="2232"/>
        <w:gridCol w:w="1752"/>
        <w:gridCol w:w="2508"/>
      </w:tblGrid>
      <w:tr w14:paraId="21A1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599" w:type="dxa"/>
            <w:shd w:val="clear" w:color="auto" w:fill="auto"/>
            <w:vAlign w:val="center"/>
          </w:tcPr>
          <w:p w14:paraId="0861AA60">
            <w:pPr>
              <w:jc w:val="center"/>
              <w:rPr>
                <w:rFonts w:hint="eastAsia" w:ascii="黑体" w:hAnsi="黑体" w:eastAsia="黑体" w:cstheme="minorBidi"/>
                <w:b/>
                <w:bCs/>
                <w:color w:val="auto"/>
                <w:kern w:val="2"/>
                <w:sz w:val="28"/>
                <w:szCs w:val="28"/>
                <w:lang w:val="en-US" w:eastAsia="zh-CN" w:bidi="ar-SA"/>
              </w:rPr>
            </w:pPr>
            <w:r>
              <w:rPr>
                <w:rFonts w:hint="eastAsia" w:ascii="黑体" w:hAnsi="黑体" w:eastAsia="黑体"/>
                <w:b/>
                <w:bCs/>
                <w:color w:val="auto"/>
                <w:sz w:val="28"/>
                <w:szCs w:val="28"/>
              </w:rPr>
              <w:t>项目名称</w:t>
            </w:r>
          </w:p>
        </w:tc>
        <w:tc>
          <w:tcPr>
            <w:tcW w:w="4092" w:type="dxa"/>
            <w:shd w:val="clear" w:color="auto" w:fill="auto"/>
            <w:vAlign w:val="center"/>
          </w:tcPr>
          <w:p w14:paraId="632301B8">
            <w:pPr>
              <w:jc w:val="center"/>
              <w:rPr>
                <w:rFonts w:hint="eastAsia" w:ascii="黑体" w:hAnsi="黑体" w:eastAsia="黑体" w:cs="黑体"/>
                <w:b/>
                <w:bCs/>
                <w:color w:val="auto"/>
                <w:kern w:val="2"/>
                <w:sz w:val="28"/>
                <w:szCs w:val="28"/>
                <w:lang w:val="en-US" w:eastAsia="zh-CN" w:bidi="ar-SA"/>
              </w:rPr>
            </w:pPr>
            <w:r>
              <w:rPr>
                <w:rFonts w:hint="eastAsia" w:ascii="黑体" w:hAnsi="黑体" w:eastAsia="黑体" w:cs="黑体"/>
                <w:b/>
                <w:bCs/>
                <w:color w:val="auto"/>
                <w:sz w:val="28"/>
                <w:szCs w:val="28"/>
              </w:rPr>
              <w:t>内容</w:t>
            </w:r>
          </w:p>
        </w:tc>
        <w:tc>
          <w:tcPr>
            <w:tcW w:w="2232" w:type="dxa"/>
            <w:shd w:val="clear" w:color="auto" w:fill="auto"/>
            <w:vAlign w:val="center"/>
          </w:tcPr>
          <w:p w14:paraId="67B0B6EB">
            <w:pPr>
              <w:pStyle w:val="52"/>
              <w:spacing w:line="400" w:lineRule="exact"/>
              <w:rPr>
                <w:rFonts w:hint="eastAsia" w:ascii="黑体" w:hAnsi="黑体" w:eastAsia="黑体" w:cs="Arial"/>
                <w:color w:val="auto"/>
                <w:kern w:val="2"/>
                <w:sz w:val="28"/>
                <w:szCs w:val="28"/>
                <w:lang w:val="en-US" w:eastAsia="zh-CN" w:bidi="ar-SA"/>
              </w:rPr>
            </w:pPr>
            <w:r>
              <w:rPr>
                <w:rFonts w:hint="eastAsia" w:ascii="黑体" w:hAnsi="黑体" w:eastAsia="黑体"/>
                <w:color w:val="auto"/>
                <w:sz w:val="28"/>
                <w:szCs w:val="28"/>
              </w:rPr>
              <w:t>总金额</w:t>
            </w:r>
            <w:r>
              <w:rPr>
                <w:rFonts w:hint="eastAsia" w:ascii="黑体" w:hAnsi="黑体" w:eastAsia="黑体"/>
                <w:color w:val="auto"/>
                <w:sz w:val="28"/>
                <w:szCs w:val="28"/>
                <w:lang w:eastAsia="zh-CN"/>
              </w:rPr>
              <w:t>（</w:t>
            </w:r>
            <w:r>
              <w:rPr>
                <w:rFonts w:hint="eastAsia" w:ascii="黑体" w:hAnsi="黑体" w:eastAsia="黑体"/>
                <w:color w:val="auto"/>
                <w:sz w:val="28"/>
                <w:szCs w:val="28"/>
                <w:lang w:val="en-US" w:eastAsia="zh-CN"/>
              </w:rPr>
              <w:t>元</w:t>
            </w:r>
            <w:r>
              <w:rPr>
                <w:rFonts w:hint="eastAsia" w:ascii="黑体" w:hAnsi="黑体" w:eastAsia="黑体"/>
                <w:color w:val="auto"/>
                <w:sz w:val="28"/>
                <w:szCs w:val="28"/>
                <w:lang w:eastAsia="zh-CN"/>
              </w:rPr>
              <w:t>）</w:t>
            </w:r>
          </w:p>
        </w:tc>
        <w:tc>
          <w:tcPr>
            <w:tcW w:w="1752" w:type="dxa"/>
            <w:shd w:val="clear" w:color="auto" w:fill="auto"/>
            <w:vAlign w:val="center"/>
          </w:tcPr>
          <w:p w14:paraId="0539FA39">
            <w:pPr>
              <w:pStyle w:val="52"/>
              <w:spacing w:line="400" w:lineRule="exact"/>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税率</w:t>
            </w:r>
          </w:p>
        </w:tc>
        <w:tc>
          <w:tcPr>
            <w:tcW w:w="2508" w:type="dxa"/>
            <w:vAlign w:val="center"/>
          </w:tcPr>
          <w:p w14:paraId="191543B5">
            <w:pPr>
              <w:pStyle w:val="52"/>
              <w:spacing w:line="400" w:lineRule="exact"/>
              <w:jc w:val="center"/>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备注</w:t>
            </w:r>
          </w:p>
        </w:tc>
      </w:tr>
      <w:tr w14:paraId="49E3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599" w:type="dxa"/>
            <w:vAlign w:val="center"/>
          </w:tcPr>
          <w:p w14:paraId="52CDBEC9">
            <w:pPr>
              <w:kinsoku/>
              <w:overflowPunct/>
              <w:topLinePunct w:val="0"/>
              <w:bidi w:val="0"/>
              <w:ind w:right="0" w:rightChars="0"/>
              <w:jc w:val="center"/>
              <w:rPr>
                <w:rFonts w:hint="eastAsia" w:ascii="宋体" w:hAnsi="宋体" w:eastAsia="宋体"/>
                <w:b/>
                <w:color w:val="auto"/>
                <w:sz w:val="24"/>
                <w:szCs w:val="24"/>
                <w:vertAlign w:val="baseline"/>
              </w:rPr>
            </w:pPr>
            <w:r>
              <w:rPr>
                <w:rFonts w:hint="eastAsia" w:ascii="黑体" w:hAnsi="宋体" w:eastAsia="黑体" w:cs="宋体"/>
                <w:b w:val="0"/>
                <w:bCs w:val="0"/>
                <w:color w:val="auto"/>
                <w:kern w:val="2"/>
                <w:sz w:val="24"/>
                <w:szCs w:val="24"/>
                <w:lang w:val="en-US" w:eastAsia="zh-CN" w:bidi="ar-SA"/>
              </w:rPr>
              <w:t>地下水年度检测服务</w:t>
            </w:r>
          </w:p>
        </w:tc>
        <w:tc>
          <w:tcPr>
            <w:tcW w:w="4092" w:type="dxa"/>
            <w:vAlign w:val="center"/>
          </w:tcPr>
          <w:p w14:paraId="6CB3342C">
            <w:pPr>
              <w:pStyle w:val="50"/>
              <w:numPr>
                <w:ilvl w:val="0"/>
                <w:numId w:val="0"/>
              </w:numPr>
              <w:kinsoku/>
              <w:overflowPunct/>
              <w:topLinePunct w:val="0"/>
              <w:bidi w:val="0"/>
              <w:spacing w:line="360" w:lineRule="auto"/>
              <w:ind w:right="0" w:rightChars="0"/>
              <w:jc w:val="center"/>
              <w:rPr>
                <w:rFonts w:hint="default" w:ascii="宋体" w:hAnsi="宋体" w:eastAsia="宋体"/>
                <w:b/>
                <w:color w:val="auto"/>
                <w:sz w:val="24"/>
                <w:szCs w:val="24"/>
                <w:vertAlign w:val="baseline"/>
                <w:lang w:val="en-US" w:eastAsia="zh-CN"/>
              </w:rPr>
            </w:pPr>
            <w:r>
              <w:rPr>
                <w:rFonts w:hint="eastAsia" w:ascii="宋体" w:hAnsi="宋体" w:eastAsia="宋体"/>
                <w:b/>
                <w:color w:val="auto"/>
                <w:sz w:val="24"/>
                <w:szCs w:val="24"/>
                <w:vertAlign w:val="baseline"/>
                <w:lang w:val="en-US" w:eastAsia="zh-CN"/>
              </w:rPr>
              <w:t>按照地下水调查评估工作指南的要求，完成丰水期、平水期、枯水期三期检测，检测点位不少于5个。</w:t>
            </w:r>
          </w:p>
        </w:tc>
        <w:tc>
          <w:tcPr>
            <w:tcW w:w="2232" w:type="dxa"/>
            <w:vAlign w:val="center"/>
          </w:tcPr>
          <w:p w14:paraId="00111AA8">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1752" w:type="dxa"/>
            <w:vAlign w:val="center"/>
          </w:tcPr>
          <w:p w14:paraId="73F88558">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2508" w:type="dxa"/>
            <w:vAlign w:val="center"/>
          </w:tcPr>
          <w:p w14:paraId="4BE069F2">
            <w:pPr>
              <w:pStyle w:val="50"/>
              <w:numPr>
                <w:ilvl w:val="0"/>
                <w:numId w:val="0"/>
              </w:numPr>
              <w:kinsoku/>
              <w:overflowPunct/>
              <w:topLinePunct w:val="0"/>
              <w:bidi w:val="0"/>
              <w:spacing w:line="360" w:lineRule="auto"/>
              <w:ind w:right="0" w:rightChars="0"/>
              <w:jc w:val="center"/>
              <w:rPr>
                <w:rFonts w:hint="default" w:ascii="宋体" w:hAnsi="宋体" w:eastAsia="宋体"/>
                <w:b/>
                <w:color w:val="auto"/>
                <w:sz w:val="24"/>
                <w:szCs w:val="24"/>
                <w:vertAlign w:val="baseline"/>
                <w:lang w:val="en-US" w:eastAsia="zh-CN"/>
              </w:rPr>
            </w:pPr>
            <w:r>
              <w:rPr>
                <w:rFonts w:hint="eastAsia" w:ascii="宋体" w:hAnsi="宋体" w:eastAsia="宋体"/>
                <w:b/>
                <w:color w:val="auto"/>
                <w:sz w:val="24"/>
                <w:szCs w:val="24"/>
                <w:vertAlign w:val="baseline"/>
                <w:lang w:val="en-US" w:eastAsia="zh-CN"/>
              </w:rPr>
              <w:t>内容详情请到现场或与技术联系</w:t>
            </w:r>
          </w:p>
        </w:tc>
      </w:tr>
    </w:tbl>
    <w:p w14:paraId="28437299">
      <w:pPr>
        <w:pStyle w:val="50"/>
        <w:numPr>
          <w:ilvl w:val="0"/>
          <w:numId w:val="0"/>
        </w:numPr>
        <w:kinsoku/>
        <w:overflowPunct/>
        <w:topLinePunct w:val="0"/>
        <w:bidi w:val="0"/>
        <w:spacing w:line="360" w:lineRule="auto"/>
        <w:ind w:leftChars="0" w:right="0" w:rightChars="0"/>
        <w:jc w:val="both"/>
        <w:rPr>
          <w:rFonts w:hint="eastAsia" w:ascii="宋体" w:hAnsi="宋体" w:eastAsia="宋体"/>
          <w:b/>
          <w:color w:val="auto"/>
        </w:rPr>
      </w:pPr>
    </w:p>
    <w:p w14:paraId="1541407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p w14:paraId="6D5AF54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49A0D654">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p>
    <w:p w14:paraId="096D0375">
      <w:pPr>
        <w:tabs>
          <w:tab w:val="left" w:pos="6120"/>
          <w:tab w:val="left" w:pos="6510"/>
          <w:tab w:val="left" w:pos="12495"/>
        </w:tabs>
        <w:kinsoku/>
        <w:overflowPunct/>
        <w:topLinePunct w:val="0"/>
        <w:bidi w:val="0"/>
        <w:spacing w:line="360" w:lineRule="auto"/>
        <w:ind w:right="0" w:rightChars="0"/>
        <w:jc w:val="left"/>
        <w:rPr>
          <w:rFonts w:hint="default" w:ascii="宋体" w:hAnsi="宋体" w:eastAsiaTheme="minorEastAsia"/>
          <w:color w:val="auto"/>
          <w:szCs w:val="21"/>
          <w:lang w:val="en-US" w:eastAsia="zh-CN"/>
        </w:rPr>
      </w:pPr>
      <w:r>
        <w:rPr>
          <w:rFonts w:hint="eastAsia" w:ascii="宋体" w:hAnsi="宋体"/>
          <w:color w:val="auto"/>
          <w:szCs w:val="21"/>
          <w:lang w:val="en-US" w:eastAsia="zh-CN"/>
        </w:rPr>
        <w:t>联系人及电话：</w:t>
      </w:r>
    </w:p>
    <w:p w14:paraId="6CC58E74">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color w:val="auto"/>
          <w:szCs w:val="21"/>
        </w:rPr>
        <w:t xml:space="preserve">                    </w:t>
      </w:r>
    </w:p>
    <w:p w14:paraId="0AD431EA">
      <w:pPr>
        <w:rPr>
          <w:rFonts w:hint="eastAsia" w:ascii="宋体" w:hAnsi="宋体" w:eastAsiaTheme="minorEastAsia" w:cstheme="minorBidi"/>
          <w:color w:val="auto"/>
          <w:kern w:val="2"/>
          <w:sz w:val="21"/>
          <w:szCs w:val="21"/>
          <w:lang w:val="en-US" w:eastAsia="zh-CN" w:bidi="ar-SA"/>
        </w:rPr>
      </w:pP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服务</w:t>
      </w:r>
      <w:r>
        <w:rPr>
          <w:rFonts w:hint="eastAsia" w:ascii="宋体" w:hAnsi="宋体" w:eastAsiaTheme="minorEastAsia" w:cstheme="minorBidi"/>
          <w:color w:val="auto"/>
          <w:kern w:val="2"/>
          <w:sz w:val="21"/>
          <w:szCs w:val="21"/>
          <w:lang w:val="en-US" w:eastAsia="zh-CN" w:bidi="ar-SA"/>
        </w:rPr>
        <w:t xml:space="preserve">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w:t>
      </w:r>
      <w:r>
        <w:rPr>
          <w:rFonts w:hint="eastAsia" w:eastAsiaTheme="minorEastAsia" w:cstheme="minorBidi"/>
          <w:color w:val="auto"/>
          <w:kern w:val="2"/>
          <w:sz w:val="21"/>
          <w:szCs w:val="21"/>
          <w:lang w:val="en-US" w:eastAsia="zh-CN" w:bidi="ar-SA"/>
        </w:rPr>
        <w:t>勘查</w:t>
      </w:r>
      <w:r>
        <w:rPr>
          <w:rFonts w:hint="eastAsia" w:ascii="宋体" w:hAnsi="宋体" w:eastAsiaTheme="minorEastAsia" w:cstheme="minorBidi"/>
          <w:color w:val="auto"/>
          <w:kern w:val="2"/>
          <w:sz w:val="21"/>
          <w:szCs w:val="21"/>
          <w:lang w:val="en-US" w:eastAsia="zh-CN" w:bidi="ar-SA"/>
        </w:rPr>
        <w:t>费、保险费、设计费、税金等。</w:t>
      </w:r>
      <w:r>
        <w:rPr>
          <w:rFonts w:hint="eastAsia"/>
          <w:color w:val="auto"/>
        </w:rPr>
        <w:t xml:space="preserve">                                                   </w:t>
      </w:r>
    </w:p>
    <w:p w14:paraId="4AA23DCC">
      <w:pPr>
        <w:widowControl/>
        <w:kinsoku/>
        <w:overflowPunct/>
        <w:topLinePunct w:val="0"/>
        <w:bidi w:val="0"/>
        <w:spacing w:line="360" w:lineRule="auto"/>
        <w:ind w:left="0" w:leftChars="0" w:right="0" w:rightChars="0" w:firstLine="420" w:firstLineChars="200"/>
        <w:rPr>
          <w:rFonts w:hint="eastAsia"/>
          <w:color w:val="auto"/>
        </w:rPr>
      </w:pPr>
    </w:p>
    <w:p w14:paraId="61C0E6FA">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A9A41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DDA4667">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服务</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484CA71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w:t>
      </w:r>
      <w:r>
        <w:rPr>
          <w:rFonts w:hint="eastAsia" w:ascii="宋体" w:hAnsi="宋体"/>
          <w:color w:val="auto"/>
          <w:lang w:val="en-US" w:eastAsia="zh-CN"/>
        </w:rPr>
        <w:t>服务</w:t>
      </w:r>
      <w:r>
        <w:rPr>
          <w:rFonts w:hint="eastAsia" w:ascii="宋体" w:hAnsi="宋体"/>
          <w:color w:val="auto"/>
        </w:rPr>
        <w:t>符合国家要求；</w:t>
      </w:r>
    </w:p>
    <w:p w14:paraId="3315052B">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0DD2A87D">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66D3D83">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0E8DAA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72C4A8E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一旦我方中标，愿意按照招标文件和招标人的规定和要求签订购销合同，并信守合同、保证质量、如期完成。</w:t>
      </w:r>
    </w:p>
    <w:p w14:paraId="73F280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4F8309E">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445FEA4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56DE0C5A">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FF80B05">
      <w:pPr>
        <w:kinsoku/>
        <w:overflowPunct/>
        <w:topLinePunct w:val="0"/>
        <w:bidi w:val="0"/>
        <w:spacing w:line="360" w:lineRule="auto"/>
        <w:ind w:left="0" w:leftChars="0" w:right="0" w:rightChars="0" w:firstLine="4200" w:firstLineChars="2000"/>
        <w:rPr>
          <w:color w:val="auto"/>
          <w:lang w:val="en-US" w:eastAsia="zh-CN"/>
        </w:rPr>
        <w:sectPr>
          <w:pgSz w:w="11906" w:h="16838"/>
          <w:pgMar w:top="1361" w:right="1134" w:bottom="1361" w:left="1134" w:header="851" w:footer="992" w:gutter="0"/>
          <w:pgNumType w:fmt="decimal"/>
          <w:cols w:space="0" w:num="1"/>
          <w:rtlGutter w:val="0"/>
          <w:docGrid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2316C6D9">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B4DD"/>
    <w:multiLevelType w:val="singleLevel"/>
    <w:tmpl w:val="3EFFB4DD"/>
    <w:lvl w:ilvl="0" w:tentative="0">
      <w:start w:val="5"/>
      <w:numFmt w:val="decimal"/>
      <w:lvlText w:val="%1."/>
      <w:lvlJc w:val="left"/>
      <w:pPr>
        <w:tabs>
          <w:tab w:val="left" w:pos="312"/>
        </w:tabs>
      </w:pPr>
    </w:lvl>
  </w:abstractNum>
  <w:abstractNum w:abstractNumId="1">
    <w:nsid w:val="45612F23"/>
    <w:multiLevelType w:val="singleLevel"/>
    <w:tmpl w:val="45612F2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3200"/>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7A297A"/>
    <w:rsid w:val="038F62BE"/>
    <w:rsid w:val="03A80897"/>
    <w:rsid w:val="03BC1030"/>
    <w:rsid w:val="041E3808"/>
    <w:rsid w:val="043B2184"/>
    <w:rsid w:val="0475718F"/>
    <w:rsid w:val="0485137E"/>
    <w:rsid w:val="04C66C1A"/>
    <w:rsid w:val="04D1736D"/>
    <w:rsid w:val="05573D16"/>
    <w:rsid w:val="057443B4"/>
    <w:rsid w:val="05C017FD"/>
    <w:rsid w:val="05EA081F"/>
    <w:rsid w:val="0687687D"/>
    <w:rsid w:val="06F2489E"/>
    <w:rsid w:val="070268E6"/>
    <w:rsid w:val="07501427"/>
    <w:rsid w:val="076636BD"/>
    <w:rsid w:val="094A00EB"/>
    <w:rsid w:val="094D7C7A"/>
    <w:rsid w:val="097507C7"/>
    <w:rsid w:val="097D22E2"/>
    <w:rsid w:val="09AD2157"/>
    <w:rsid w:val="0A3C4D43"/>
    <w:rsid w:val="0B6C6FDB"/>
    <w:rsid w:val="0BBB617C"/>
    <w:rsid w:val="0C5F0F6E"/>
    <w:rsid w:val="0D004BE0"/>
    <w:rsid w:val="0D6635DC"/>
    <w:rsid w:val="0EC51CF1"/>
    <w:rsid w:val="0F286FEE"/>
    <w:rsid w:val="0F783207"/>
    <w:rsid w:val="0F797A29"/>
    <w:rsid w:val="0FBB34F5"/>
    <w:rsid w:val="0FFD54BA"/>
    <w:rsid w:val="10525110"/>
    <w:rsid w:val="10F838E5"/>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0A81398"/>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1C26032"/>
    <w:rsid w:val="32C311AC"/>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C904E0A"/>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8790C33"/>
    <w:rsid w:val="492B4B3C"/>
    <w:rsid w:val="4A185620"/>
    <w:rsid w:val="4A6F4C2B"/>
    <w:rsid w:val="4B964C95"/>
    <w:rsid w:val="4BDF7931"/>
    <w:rsid w:val="4D477799"/>
    <w:rsid w:val="4DCF4AEB"/>
    <w:rsid w:val="4E0D1159"/>
    <w:rsid w:val="4E5A52AA"/>
    <w:rsid w:val="4E9A4371"/>
    <w:rsid w:val="4EE10E98"/>
    <w:rsid w:val="4EE97C85"/>
    <w:rsid w:val="4F203C16"/>
    <w:rsid w:val="4F5134BA"/>
    <w:rsid w:val="4FE70DC0"/>
    <w:rsid w:val="502E581F"/>
    <w:rsid w:val="50CC06E1"/>
    <w:rsid w:val="50F46497"/>
    <w:rsid w:val="514328A4"/>
    <w:rsid w:val="51875472"/>
    <w:rsid w:val="51F577C4"/>
    <w:rsid w:val="5213252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4754794"/>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E0D30CC"/>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3F0265"/>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p18"/>
    <w:basedOn w:val="1"/>
    <w:qFormat/>
    <w:uiPriority w:val="0"/>
    <w:pPr>
      <w:widowControl/>
      <w:spacing w:line="400" w:lineRule="atLeast"/>
      <w:jc w:val="center"/>
    </w:pPr>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1340</Words>
  <Characters>1463</Characters>
  <Lines>16</Lines>
  <Paragraphs>4</Paragraphs>
  <TotalTime>32</TotalTime>
  <ScaleCrop>false</ScaleCrop>
  <LinksUpToDate>false</LinksUpToDate>
  <CharactersWithSpaces>2068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程康</cp:lastModifiedBy>
  <dcterms:modified xsi:type="dcterms:W3CDTF">2025-07-31T06:36:39Z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eyJoZGlkIjoiMzEwNTM5NzYwMDRjMzkwZTVkZjY2ODkwMGIxNGU0OTUiLCJ1c2VySWQiOiIzNzU4NzkwNDkifQ==</vt:lpwstr>
  </property>
  <property fmtid="{D5CDD505-2E9C-101B-9397-08002B2CF9AE}" pid="3" name="KSOProductBuildVer">
    <vt:lpwstr>2052-12.1.0.21915</vt:lpwstr>
  </property>
  <property fmtid="{D5CDD505-2E9C-101B-9397-08002B2CF9AE}" pid="4" name="ICV">
    <vt:lpwstr>638278A91B6247A3A14F33886A0DB3EB_13</vt:lpwstr>
  </property>
</Properties>
</file>