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972B9">
      <w:pPr>
        <w:autoSpaceDE w:val="0"/>
        <w:autoSpaceDN w:val="0"/>
        <w:adjustRightInd w:val="0"/>
        <w:spacing w:before="100" w:after="100"/>
        <w:jc w:val="center"/>
        <w:rPr>
          <w:rFonts w:hint="eastAsia" w:ascii="宋体" w:hAnsi="宋体" w:cs="宋体"/>
          <w:b/>
          <w:bCs/>
          <w:color w:val="auto"/>
          <w:sz w:val="48"/>
          <w:szCs w:val="48"/>
          <w:highlight w:val="none"/>
          <w:lang w:val="en-US" w:eastAsia="zh-CN"/>
        </w:rPr>
      </w:pPr>
      <w:r>
        <w:rPr>
          <w:rFonts w:hint="eastAsia" w:ascii="宋体" w:hAnsi="宋体" w:cs="宋体"/>
          <w:b/>
          <w:bCs/>
          <w:color w:val="auto"/>
          <w:sz w:val="48"/>
          <w:szCs w:val="48"/>
          <w:highlight w:val="none"/>
          <w:lang w:val="en-US" w:eastAsia="zh-CN"/>
        </w:rPr>
        <w:t>有色金属分公司</w:t>
      </w:r>
    </w:p>
    <w:p w14:paraId="3E5A19FE">
      <w:pPr>
        <w:autoSpaceDE w:val="0"/>
        <w:autoSpaceDN w:val="0"/>
        <w:adjustRightInd w:val="0"/>
        <w:spacing w:before="100" w:after="100"/>
        <w:jc w:val="center"/>
        <w:rPr>
          <w:rFonts w:hint="default" w:cs="黑体" w:asciiTheme="minorEastAsia" w:hAnsiTheme="minorEastAsia" w:eastAsiaTheme="minorEastAsia"/>
          <w:color w:val="auto"/>
          <w:sz w:val="84"/>
          <w:szCs w:val="84"/>
          <w:highlight w:val="none"/>
          <w:lang w:val="en-US"/>
        </w:rPr>
      </w:pPr>
      <w:r>
        <w:rPr>
          <w:rFonts w:hint="eastAsia" w:ascii="宋体" w:hAnsi="宋体" w:eastAsia="宋体" w:cs="宋体"/>
          <w:b/>
          <w:bCs/>
          <w:color w:val="auto"/>
          <w:sz w:val="48"/>
          <w:szCs w:val="48"/>
          <w:highlight w:val="none"/>
          <w:lang w:val="en-US" w:eastAsia="zh-CN"/>
        </w:rPr>
        <w:t>地下水调查溯源服务采购</w:t>
      </w:r>
    </w:p>
    <w:p w14:paraId="1FAE45D5">
      <w:pPr>
        <w:widowControl/>
        <w:jc w:val="both"/>
        <w:rPr>
          <w:rFonts w:hint="eastAsia" w:asciiTheme="minorEastAsia" w:hAnsiTheme="minorEastAsia" w:eastAsiaTheme="minorEastAsia"/>
          <w:b/>
          <w:color w:val="auto"/>
          <w:kern w:val="0"/>
          <w:sz w:val="72"/>
          <w:szCs w:val="72"/>
          <w:highlight w:val="none"/>
        </w:rPr>
      </w:pPr>
    </w:p>
    <w:p w14:paraId="538E90AF">
      <w:pPr>
        <w:pStyle w:val="5"/>
        <w:rPr>
          <w:rFonts w:hint="eastAsia" w:asciiTheme="minorEastAsia" w:hAnsiTheme="minorEastAsia" w:eastAsiaTheme="minorEastAsia"/>
          <w:b/>
          <w:color w:val="auto"/>
          <w:kern w:val="0"/>
          <w:sz w:val="72"/>
          <w:szCs w:val="72"/>
          <w:highlight w:val="none"/>
        </w:rPr>
      </w:pPr>
    </w:p>
    <w:p w14:paraId="33D068A5">
      <w:pPr>
        <w:pStyle w:val="11"/>
        <w:rPr>
          <w:rFonts w:hint="eastAsia" w:asciiTheme="minorEastAsia" w:hAnsiTheme="minorEastAsia" w:eastAsiaTheme="minorEastAsia"/>
          <w:b/>
          <w:color w:val="auto"/>
          <w:kern w:val="0"/>
          <w:sz w:val="72"/>
          <w:szCs w:val="72"/>
          <w:highlight w:val="none"/>
        </w:rPr>
      </w:pPr>
    </w:p>
    <w:p w14:paraId="44917994">
      <w:pPr>
        <w:rPr>
          <w:rFonts w:hint="eastAsia"/>
          <w:color w:val="auto"/>
          <w:highlight w:val="none"/>
        </w:rPr>
      </w:pPr>
    </w:p>
    <w:p w14:paraId="7C29320C">
      <w:pPr>
        <w:pStyle w:val="11"/>
        <w:rPr>
          <w:rFonts w:hint="eastAsia"/>
          <w:color w:val="auto"/>
          <w:highlight w:val="none"/>
        </w:rPr>
      </w:pPr>
    </w:p>
    <w:p w14:paraId="789A982C">
      <w:pPr>
        <w:widowControl/>
        <w:jc w:val="center"/>
        <w:rPr>
          <w:rFonts w:asciiTheme="minorEastAsia" w:hAnsiTheme="minorEastAsia" w:eastAsiaTheme="minorEastAsia"/>
          <w:b/>
          <w:color w:val="auto"/>
          <w:kern w:val="0"/>
          <w:sz w:val="72"/>
          <w:szCs w:val="72"/>
          <w:highlight w:val="none"/>
        </w:rPr>
      </w:pPr>
      <w:r>
        <w:rPr>
          <w:rFonts w:hint="eastAsia" w:asciiTheme="minorEastAsia" w:hAnsiTheme="minorEastAsia" w:eastAsiaTheme="minorEastAsia"/>
          <w:b/>
          <w:color w:val="auto"/>
          <w:kern w:val="0"/>
          <w:sz w:val="72"/>
          <w:szCs w:val="72"/>
          <w:highlight w:val="none"/>
        </w:rPr>
        <w:t>比选文件</w:t>
      </w:r>
    </w:p>
    <w:p w14:paraId="4C7901ED">
      <w:pPr>
        <w:pStyle w:val="5"/>
        <w:jc w:val="center"/>
        <w:rPr>
          <w:rFonts w:hint="default"/>
          <w:color w:val="auto"/>
          <w:lang w:val="en-US" w:eastAsia="zh-CN"/>
        </w:rPr>
      </w:pPr>
      <w:r>
        <w:rPr>
          <w:rFonts w:hint="eastAsia" w:ascii="黑体" w:hAnsi="黑体" w:eastAsia="黑体" w:cs="宋体"/>
          <w:b/>
          <w:color w:val="auto"/>
          <w:kern w:val="0"/>
          <w:sz w:val="32"/>
          <w:szCs w:val="32"/>
          <w:lang w:val="en-US" w:eastAsia="zh-CN"/>
        </w:rPr>
        <w:t>编号：YS-GKBX-2025-FW31</w:t>
      </w:r>
    </w:p>
    <w:p w14:paraId="28B86A66">
      <w:pPr>
        <w:autoSpaceDE w:val="0"/>
        <w:autoSpaceDN w:val="0"/>
        <w:adjustRightInd w:val="0"/>
        <w:spacing w:line="360" w:lineRule="auto"/>
        <w:jc w:val="center"/>
        <w:rPr>
          <w:rFonts w:asciiTheme="minorEastAsia" w:hAnsiTheme="minorEastAsia" w:eastAsiaTheme="minorEastAsia"/>
          <w:color w:val="auto"/>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color w:val="auto"/>
          <w:highlight w:val="none"/>
          <w:lang w:val="zh-CN"/>
        </w:rPr>
      </w:pPr>
    </w:p>
    <w:p w14:paraId="43784FA0">
      <w:pPr>
        <w:jc w:val="center"/>
        <w:rPr>
          <w:rFonts w:cs="黑体" w:asciiTheme="minorEastAsia" w:hAnsiTheme="minorEastAsia" w:eastAsiaTheme="minorEastAsia"/>
          <w:color w:val="auto"/>
          <w:highlight w:val="none"/>
          <w:lang w:val="zh-CN"/>
        </w:rPr>
      </w:pPr>
    </w:p>
    <w:p w14:paraId="205AB8C1">
      <w:pPr>
        <w:jc w:val="center"/>
        <w:rPr>
          <w:rFonts w:cs="黑体" w:asciiTheme="minorEastAsia" w:hAnsiTheme="minorEastAsia" w:eastAsiaTheme="minorEastAsia"/>
          <w:color w:val="auto"/>
          <w:highlight w:val="none"/>
          <w:lang w:val="zh-CN"/>
        </w:rPr>
      </w:pPr>
    </w:p>
    <w:p w14:paraId="6D5AE92C">
      <w:pPr>
        <w:jc w:val="center"/>
        <w:rPr>
          <w:rFonts w:cs="黑体" w:asciiTheme="minorEastAsia" w:hAnsiTheme="minorEastAsia" w:eastAsiaTheme="minorEastAsia"/>
          <w:color w:val="auto"/>
          <w:highlight w:val="none"/>
          <w:lang w:val="zh-CN"/>
        </w:rPr>
      </w:pPr>
    </w:p>
    <w:p w14:paraId="0AD65B3A">
      <w:pPr>
        <w:jc w:val="center"/>
        <w:rPr>
          <w:rFonts w:cs="黑体" w:asciiTheme="minorEastAsia" w:hAnsiTheme="minorEastAsia" w:eastAsiaTheme="minorEastAsia"/>
          <w:color w:val="auto"/>
          <w:highlight w:val="none"/>
          <w:lang w:val="zh-CN"/>
        </w:rPr>
      </w:pPr>
    </w:p>
    <w:p w14:paraId="40735AE9">
      <w:pPr>
        <w:jc w:val="center"/>
        <w:rPr>
          <w:rFonts w:cs="黑体" w:asciiTheme="minorEastAsia" w:hAnsiTheme="minorEastAsia" w:eastAsiaTheme="minorEastAsia"/>
          <w:color w:val="auto"/>
          <w:highlight w:val="none"/>
          <w:lang w:val="zh-CN"/>
        </w:rPr>
      </w:pPr>
    </w:p>
    <w:p w14:paraId="39575830">
      <w:pPr>
        <w:spacing w:line="600" w:lineRule="auto"/>
        <w:ind w:firstLine="2127" w:firstLineChars="709"/>
        <w:rPr>
          <w:rFonts w:hint="eastAsia" w:asciiTheme="minorEastAsia" w:hAnsiTheme="minorEastAsia" w:eastAsiaTheme="minorEastAsia"/>
          <w:color w:val="auto"/>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auto"/>
          <w:sz w:val="30"/>
          <w:szCs w:val="30"/>
          <w:highlight w:val="none"/>
          <w:u w:val="single"/>
          <w:lang w:val="en-US" w:eastAsia="zh-CN"/>
        </w:rPr>
      </w:pPr>
      <w:r>
        <w:rPr>
          <w:rFonts w:hint="eastAsia" w:asciiTheme="minorEastAsia" w:hAnsiTheme="minorEastAsia" w:eastAsiaTheme="minorEastAsia"/>
          <w:b/>
          <w:bCs/>
          <w:color w:val="auto"/>
          <w:sz w:val="30"/>
          <w:szCs w:val="30"/>
          <w:highlight w:val="none"/>
          <w:lang w:eastAsia="zh-CN"/>
        </w:rPr>
        <w:t>比选人</w:t>
      </w:r>
      <w:r>
        <w:rPr>
          <w:rFonts w:hint="eastAsia" w:asciiTheme="minorEastAsia" w:hAnsiTheme="minorEastAsia" w:eastAsiaTheme="minorEastAsia"/>
          <w:b/>
          <w:bCs/>
          <w:color w:val="auto"/>
          <w:sz w:val="30"/>
          <w:szCs w:val="30"/>
          <w:highlight w:val="none"/>
        </w:rPr>
        <w:t>：</w:t>
      </w:r>
      <w:r>
        <w:rPr>
          <w:rFonts w:hint="eastAsia" w:asciiTheme="minorEastAsia" w:hAnsiTheme="minorEastAsia"/>
          <w:b/>
          <w:bCs/>
          <w:color w:val="auto"/>
          <w:sz w:val="30"/>
          <w:szCs w:val="30"/>
          <w:highlight w:val="none"/>
          <w:u w:val="single"/>
          <w:lang w:val="en-US" w:eastAsia="zh-CN"/>
        </w:rPr>
        <w:t>有色金属分公司</w:t>
      </w:r>
    </w:p>
    <w:p w14:paraId="68FB60FA">
      <w:pPr>
        <w:autoSpaceDE w:val="0"/>
        <w:autoSpaceDN w:val="0"/>
        <w:adjustRightInd w:val="0"/>
        <w:spacing w:line="480" w:lineRule="auto"/>
        <w:jc w:val="center"/>
        <w:rPr>
          <w:rFonts w:hint="default" w:asciiTheme="minorEastAsia" w:hAnsiTheme="minorEastAsia" w:eastAsiaTheme="minorEastAsia"/>
          <w:b/>
          <w:color w:val="auto"/>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color w:val="auto"/>
          <w:sz w:val="30"/>
          <w:szCs w:val="30"/>
          <w:highlight w:val="none"/>
          <w:lang w:val="zh-CN"/>
        </w:rPr>
        <w:t>20</w:t>
      </w:r>
      <w:r>
        <w:rPr>
          <w:rFonts w:hint="eastAsia" w:cs="黑体" w:asciiTheme="minorEastAsia" w:hAnsiTheme="minorEastAsia" w:eastAsiaTheme="minorEastAsia"/>
          <w:b/>
          <w:bCs/>
          <w:color w:val="auto"/>
          <w:sz w:val="30"/>
          <w:szCs w:val="30"/>
          <w:highlight w:val="none"/>
          <w:lang w:val="en-US" w:eastAsia="zh-CN"/>
        </w:rPr>
        <w:t>25</w:t>
      </w:r>
      <w:r>
        <w:rPr>
          <w:rFonts w:hint="eastAsia" w:cs="黑体" w:asciiTheme="minorEastAsia" w:hAnsiTheme="minorEastAsia" w:eastAsiaTheme="minorEastAsia"/>
          <w:b/>
          <w:bCs/>
          <w:color w:val="auto"/>
          <w:sz w:val="30"/>
          <w:szCs w:val="30"/>
          <w:highlight w:val="none"/>
          <w:lang w:val="zh-CN"/>
        </w:rPr>
        <w:t>年</w:t>
      </w:r>
      <w:r>
        <w:rPr>
          <w:rFonts w:hint="eastAsia" w:cs="黑体" w:asciiTheme="minorEastAsia" w:hAnsiTheme="minorEastAsia"/>
          <w:b/>
          <w:bCs/>
          <w:color w:val="auto"/>
          <w:sz w:val="30"/>
          <w:szCs w:val="30"/>
          <w:highlight w:val="none"/>
          <w:lang w:val="en-US" w:eastAsia="zh-CN"/>
        </w:rPr>
        <w:t>7</w:t>
      </w:r>
      <w:r>
        <w:rPr>
          <w:rFonts w:hint="eastAsia" w:cs="黑体" w:asciiTheme="minorEastAsia" w:hAnsiTheme="minorEastAsia" w:eastAsiaTheme="minorEastAsia"/>
          <w:b/>
          <w:bCs/>
          <w:color w:val="auto"/>
          <w:sz w:val="30"/>
          <w:szCs w:val="30"/>
          <w:highlight w:val="none"/>
          <w:lang w:val="en-US" w:eastAsia="zh-CN"/>
        </w:rPr>
        <w:t>月</w:t>
      </w:r>
      <w:r>
        <w:rPr>
          <w:rFonts w:hint="eastAsia" w:cs="黑体" w:asciiTheme="minorEastAsia" w:hAnsiTheme="minorEastAsia"/>
          <w:b/>
          <w:bCs/>
          <w:color w:val="auto"/>
          <w:sz w:val="30"/>
          <w:szCs w:val="30"/>
          <w:highlight w:val="none"/>
          <w:lang w:val="en-US" w:eastAsia="zh-CN"/>
        </w:rPr>
        <w:t>31</w:t>
      </w:r>
      <w:r>
        <w:rPr>
          <w:rFonts w:hint="eastAsia" w:cs="黑体" w:asciiTheme="minorEastAsia" w:hAnsiTheme="minorEastAsia" w:eastAsiaTheme="minorEastAsia"/>
          <w:b/>
          <w:bCs/>
          <w:color w:val="auto"/>
          <w:sz w:val="30"/>
          <w:szCs w:val="30"/>
          <w:highlight w:val="none"/>
          <w:lang w:val="en-US" w:eastAsia="zh-CN"/>
        </w:rPr>
        <w:t>日</w:t>
      </w:r>
    </w:p>
    <w:p w14:paraId="2E01371C">
      <w:pPr>
        <w:jc w:val="center"/>
        <w:rPr>
          <w:rFonts w:hint="eastAsia" w:ascii="黑体" w:hAnsi="黑体" w:eastAsia="黑体" w:cs="宋体"/>
          <w:b/>
          <w:color w:val="auto"/>
          <w:kern w:val="0"/>
          <w:sz w:val="32"/>
          <w:szCs w:val="32"/>
        </w:rPr>
      </w:pPr>
      <w:r>
        <w:rPr>
          <w:rFonts w:hint="eastAsia" w:ascii="黑体" w:hAnsi="黑体" w:eastAsia="黑体" w:cs="宋体"/>
          <w:b/>
          <w:color w:val="auto"/>
          <w:kern w:val="0"/>
          <w:sz w:val="32"/>
          <w:szCs w:val="32"/>
          <w:lang w:val="en-US" w:eastAsia="zh-CN"/>
        </w:rPr>
        <w:t>有色金属分</w:t>
      </w:r>
      <w:r>
        <w:rPr>
          <w:rFonts w:hint="eastAsia" w:ascii="黑体" w:hAnsi="黑体" w:eastAsia="黑体" w:cs="宋体"/>
          <w:b/>
          <w:color w:val="auto"/>
          <w:kern w:val="0"/>
          <w:sz w:val="32"/>
          <w:szCs w:val="32"/>
        </w:rPr>
        <w:t>公司</w:t>
      </w:r>
    </w:p>
    <w:p w14:paraId="3C2905FA">
      <w:pPr>
        <w:jc w:val="center"/>
        <w:rPr>
          <w:rFonts w:hint="eastAsia" w:ascii="黑体" w:hAnsi="黑体" w:eastAsia="黑体" w:cs="宋体"/>
          <w:b/>
          <w:color w:val="auto"/>
          <w:kern w:val="0"/>
          <w:sz w:val="32"/>
          <w:szCs w:val="32"/>
          <w:lang w:val="en-US" w:eastAsia="zh-CN"/>
        </w:rPr>
      </w:pPr>
      <w:r>
        <w:rPr>
          <w:rFonts w:hint="eastAsia" w:ascii="黑体" w:hAnsi="黑体" w:eastAsia="黑体" w:cs="宋体"/>
          <w:b/>
          <w:color w:val="auto"/>
          <w:kern w:val="0"/>
          <w:sz w:val="32"/>
          <w:szCs w:val="32"/>
          <w:lang w:val="en-US" w:eastAsia="zh-CN"/>
        </w:rPr>
        <w:t>地下水调查溯源服务</w:t>
      </w:r>
      <w:r>
        <w:rPr>
          <w:rFonts w:hint="eastAsia" w:ascii="黑体" w:hAnsi="黑体" w:eastAsia="黑体" w:cs="宋体"/>
          <w:b/>
          <w:color w:val="auto"/>
          <w:kern w:val="0"/>
          <w:sz w:val="32"/>
          <w:szCs w:val="32"/>
        </w:rPr>
        <w:t>采购比选</w:t>
      </w:r>
      <w:r>
        <w:rPr>
          <w:rFonts w:hint="eastAsia" w:ascii="黑体" w:hAnsi="黑体" w:eastAsia="黑体" w:cs="宋体"/>
          <w:b/>
          <w:color w:val="auto"/>
          <w:kern w:val="0"/>
          <w:sz w:val="32"/>
          <w:szCs w:val="32"/>
          <w:lang w:val="en-US" w:eastAsia="zh-CN"/>
        </w:rPr>
        <w:t>文件</w:t>
      </w:r>
    </w:p>
    <w:p w14:paraId="4D403B75">
      <w:pPr>
        <w:pStyle w:val="5"/>
        <w:jc w:val="center"/>
        <w:rPr>
          <w:rFonts w:hint="default"/>
          <w:color w:val="auto"/>
          <w:lang w:val="en-US" w:eastAsia="zh-CN"/>
        </w:rPr>
      </w:pPr>
      <w:r>
        <w:rPr>
          <w:rFonts w:hint="eastAsia" w:ascii="黑体" w:hAnsi="黑体" w:eastAsia="黑体" w:cs="宋体"/>
          <w:b/>
          <w:color w:val="auto"/>
          <w:kern w:val="0"/>
          <w:sz w:val="32"/>
          <w:szCs w:val="32"/>
          <w:lang w:val="en-US" w:eastAsia="zh-CN"/>
        </w:rPr>
        <w:t>编号：YS-GKBX-2025-FW31</w:t>
      </w:r>
    </w:p>
    <w:p w14:paraId="23CFBEF3">
      <w:pPr>
        <w:spacing w:line="360" w:lineRule="exact"/>
        <w:rPr>
          <w:rFonts w:ascii="黑体" w:hAnsi="黑体" w:eastAsia="黑体" w:cs="Times New Roman"/>
          <w:b/>
          <w:color w:val="auto"/>
          <w:sz w:val="28"/>
          <w:szCs w:val="28"/>
        </w:rPr>
      </w:pPr>
      <w:r>
        <w:rPr>
          <w:rFonts w:hint="eastAsia" w:ascii="黑体" w:hAnsi="黑体" w:eastAsia="黑体" w:cs="Times New Roman"/>
          <w:b/>
          <w:color w:val="auto"/>
          <w:sz w:val="28"/>
          <w:szCs w:val="28"/>
        </w:rPr>
        <w:t>各单位：</w:t>
      </w:r>
    </w:p>
    <w:p w14:paraId="7A46ECDF">
      <w:pPr>
        <w:spacing w:line="360" w:lineRule="exact"/>
        <w:ind w:firstLine="560" w:firstLineChars="200"/>
        <w:rPr>
          <w:rFonts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由四川宏达股份有限公司有色金属分公司因生产需对地下水调查溯源服务采购，本着“公开、公平、公正”的原则，现对地下水调查溯源服务进行公开比选</w:t>
      </w:r>
      <w:r>
        <w:rPr>
          <w:rFonts w:hint="eastAsia" w:ascii="黑体" w:hAnsi="黑体" w:eastAsia="黑体" w:cs="宋体"/>
          <w:color w:val="auto"/>
          <w:kern w:val="0"/>
          <w:sz w:val="28"/>
          <w:szCs w:val="28"/>
        </w:rPr>
        <w:t>。欢迎贵公司前来报价，现将相关事项公告如下：</w:t>
      </w:r>
    </w:p>
    <w:p w14:paraId="3C4DF528">
      <w:pPr>
        <w:numPr>
          <w:ilvl w:val="0"/>
          <w:numId w:val="1"/>
        </w:numPr>
        <w:spacing w:line="360" w:lineRule="exact"/>
        <w:rPr>
          <w:rFonts w:hint="default" w:ascii="黑体" w:hAnsi="黑体" w:eastAsia="黑体" w:cs="宋体"/>
          <w:color w:val="auto"/>
          <w:kern w:val="0"/>
          <w:sz w:val="28"/>
          <w:szCs w:val="28"/>
          <w:lang w:val="en-US" w:eastAsia="zh-CN"/>
        </w:rPr>
      </w:pPr>
      <w:r>
        <w:rPr>
          <w:rFonts w:hint="eastAsia" w:ascii="黑体" w:hAnsi="黑体" w:eastAsia="黑体" w:cs="宋体"/>
          <w:color w:val="auto"/>
          <w:kern w:val="0"/>
          <w:sz w:val="28"/>
          <w:szCs w:val="28"/>
        </w:rPr>
        <w:t>标的物：</w:t>
      </w:r>
      <w:r>
        <w:rPr>
          <w:rFonts w:hint="eastAsia" w:ascii="黑体" w:hAnsi="黑体" w:eastAsia="黑体" w:cs="宋体"/>
          <w:color w:val="auto"/>
          <w:kern w:val="0"/>
          <w:sz w:val="28"/>
          <w:szCs w:val="28"/>
          <w:lang w:val="en-US" w:eastAsia="zh-CN"/>
        </w:rPr>
        <w:t>地下水调查溯源服务</w:t>
      </w:r>
    </w:p>
    <w:p w14:paraId="3189E225">
      <w:pPr>
        <w:numPr>
          <w:ilvl w:val="0"/>
          <w:numId w:val="0"/>
        </w:numPr>
        <w:spacing w:line="360" w:lineRule="exact"/>
        <w:rPr>
          <w:rFonts w:ascii="黑体" w:hAnsi="黑体" w:eastAsia="黑体" w:cs="宋体"/>
          <w:color w:val="auto"/>
          <w:kern w:val="0"/>
          <w:sz w:val="28"/>
          <w:szCs w:val="28"/>
        </w:rPr>
      </w:pPr>
      <w:r>
        <w:rPr>
          <w:rFonts w:hint="eastAsia" w:ascii="黑体" w:hAnsi="黑体" w:eastAsia="黑体" w:cs="宋体"/>
          <w:color w:val="auto"/>
          <w:kern w:val="0"/>
          <w:sz w:val="28"/>
          <w:szCs w:val="28"/>
        </w:rPr>
        <w:t>二、比选人：</w:t>
      </w:r>
      <w:r>
        <w:rPr>
          <w:rFonts w:hint="eastAsia" w:ascii="黑体" w:hAnsi="黑体" w:eastAsia="黑体" w:cs="宋体"/>
          <w:color w:val="auto"/>
          <w:kern w:val="0"/>
          <w:sz w:val="28"/>
          <w:szCs w:val="28"/>
          <w:lang w:val="en-US" w:eastAsia="zh-CN"/>
        </w:rPr>
        <w:t>有色金属分公司</w:t>
      </w:r>
      <w:r>
        <w:rPr>
          <w:rFonts w:hint="eastAsia" w:ascii="黑体" w:hAnsi="黑体" w:eastAsia="黑体" w:cs="宋体"/>
          <w:color w:val="auto"/>
          <w:kern w:val="0"/>
          <w:sz w:val="28"/>
          <w:szCs w:val="28"/>
        </w:rPr>
        <w:t xml:space="preserve">  </w:t>
      </w:r>
    </w:p>
    <w:p w14:paraId="67EB3B3D">
      <w:pPr>
        <w:spacing w:line="360" w:lineRule="exact"/>
        <w:rPr>
          <w:rFonts w:ascii="黑体" w:hAnsi="黑体" w:eastAsia="黑体" w:cs="宋体"/>
          <w:color w:val="auto"/>
          <w:kern w:val="0"/>
          <w:sz w:val="28"/>
          <w:szCs w:val="28"/>
        </w:rPr>
      </w:pPr>
      <w:r>
        <w:rPr>
          <w:rFonts w:hint="eastAsia" w:ascii="黑体" w:hAnsi="黑体" w:eastAsia="黑体" w:cs="宋体"/>
          <w:color w:val="auto"/>
          <w:kern w:val="0"/>
          <w:sz w:val="28"/>
          <w:szCs w:val="28"/>
        </w:rPr>
        <w:t>三、具体内容及要求：</w:t>
      </w:r>
    </w:p>
    <w:p w14:paraId="6AF89CE7">
      <w:pPr>
        <w:spacing w:line="360" w:lineRule="exact"/>
        <w:rPr>
          <w:rFonts w:hint="eastAsia"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 xml:space="preserve">1、参与投标的服务单位应当具备下列条件： </w:t>
      </w:r>
    </w:p>
    <w:p w14:paraId="65811F74">
      <w:pPr>
        <w:spacing w:line="360" w:lineRule="exact"/>
        <w:rPr>
          <w:rFonts w:hint="eastAsia"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 xml:space="preserve">（一）能够独立承担民事责任； </w:t>
      </w:r>
    </w:p>
    <w:p w14:paraId="10377E96">
      <w:pPr>
        <w:spacing w:line="360" w:lineRule="exact"/>
        <w:rPr>
          <w:rFonts w:hint="eastAsia"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（二）环境影响评价信用平台备案单位</w:t>
      </w:r>
    </w:p>
    <w:p w14:paraId="00932954">
      <w:pPr>
        <w:spacing w:line="360" w:lineRule="exact"/>
        <w:rPr>
          <w:rFonts w:hint="default" w:ascii="黑体" w:hAnsi="黑体" w:eastAsia="黑体" w:cs="宋体"/>
          <w:color w:val="auto"/>
          <w:kern w:val="0"/>
          <w:sz w:val="28"/>
          <w:szCs w:val="28"/>
          <w:lang w:val="en-US" w:eastAsia="zh-CN"/>
        </w:rPr>
      </w:pPr>
      <w:r>
        <w:rPr>
          <w:rFonts w:hint="eastAsia" w:ascii="黑体" w:hAnsi="黑体" w:eastAsia="黑体" w:cs="黑体"/>
          <w:color w:val="auto"/>
          <w:sz w:val="28"/>
          <w:szCs w:val="28"/>
          <w:lang w:val="en-US" w:eastAsia="zh-CN"/>
        </w:rPr>
        <w:t>2.服务</w:t>
      </w:r>
      <w:r>
        <w:rPr>
          <w:rFonts w:hint="eastAsia" w:ascii="黑体" w:hAnsi="黑体" w:eastAsia="黑体" w:cs="宋体"/>
          <w:color w:val="auto"/>
          <w:kern w:val="0"/>
          <w:sz w:val="28"/>
          <w:szCs w:val="28"/>
        </w:rPr>
        <w:t>地点：四川宏达股份有限公司</w:t>
      </w:r>
      <w:r>
        <w:rPr>
          <w:rFonts w:hint="eastAsia" w:ascii="黑体" w:hAnsi="黑体" w:eastAsia="黑体" w:cs="宋体"/>
          <w:color w:val="auto"/>
          <w:kern w:val="0"/>
          <w:sz w:val="28"/>
          <w:szCs w:val="28"/>
          <w:lang w:val="en-US" w:eastAsia="zh-CN"/>
        </w:rPr>
        <w:t>有色金属分公司（什邡市师古镇）</w:t>
      </w:r>
    </w:p>
    <w:p w14:paraId="65D426B4">
      <w:pPr>
        <w:spacing w:line="420" w:lineRule="exact"/>
        <w:rPr>
          <w:rFonts w:ascii="黑体" w:hAnsi="黑体" w:eastAsia="黑体" w:cs="宋体"/>
          <w:color w:val="auto"/>
          <w:kern w:val="0"/>
          <w:sz w:val="28"/>
          <w:szCs w:val="28"/>
        </w:rPr>
      </w:pPr>
      <w:r>
        <w:rPr>
          <w:rFonts w:hint="eastAsia" w:ascii="黑体" w:hAnsi="黑体" w:eastAsia="黑体" w:cs="宋体"/>
          <w:color w:val="auto"/>
          <w:kern w:val="0"/>
          <w:sz w:val="28"/>
          <w:szCs w:val="28"/>
        </w:rPr>
        <w:t>3</w:t>
      </w:r>
      <w:r>
        <w:rPr>
          <w:rFonts w:hint="eastAsia" w:ascii="黑体" w:hAnsi="黑体" w:eastAsia="黑体" w:cs="宋体"/>
          <w:color w:val="auto"/>
          <w:kern w:val="0"/>
          <w:sz w:val="28"/>
          <w:szCs w:val="28"/>
          <w:lang w:eastAsia="zh-CN"/>
        </w:rPr>
        <w:t>.</w:t>
      </w:r>
      <w:r>
        <w:rPr>
          <w:rFonts w:hint="eastAsia" w:ascii="黑体" w:hAnsi="黑体" w:eastAsia="黑体" w:cs="宋体"/>
          <w:color w:val="auto"/>
          <w:kern w:val="0"/>
          <w:sz w:val="28"/>
          <w:szCs w:val="28"/>
          <w:lang w:val="en-US" w:eastAsia="zh-CN"/>
        </w:rPr>
        <w:t>服务</w:t>
      </w:r>
      <w:r>
        <w:rPr>
          <w:rFonts w:hint="eastAsia" w:ascii="黑体" w:hAnsi="黑体" w:eastAsia="黑体" w:cs="宋体"/>
          <w:color w:val="auto"/>
          <w:kern w:val="0"/>
          <w:sz w:val="28"/>
          <w:szCs w:val="28"/>
        </w:rPr>
        <w:t>期：</w:t>
      </w:r>
      <w:r>
        <w:rPr>
          <w:rFonts w:hint="eastAsia" w:ascii="黑体" w:hAnsi="黑体" w:eastAsia="黑体" w:cs="Times New Roman"/>
          <w:color w:val="auto"/>
          <w:sz w:val="28"/>
          <w:szCs w:val="28"/>
          <w:lang w:val="en-US" w:eastAsia="zh-CN"/>
        </w:rPr>
        <w:t>合同签订后至2026年12月31日</w:t>
      </w:r>
      <w:r>
        <w:rPr>
          <w:rFonts w:hint="eastAsia" w:ascii="黑体" w:hAnsi="黑体" w:eastAsia="黑体" w:cs="宋体"/>
          <w:color w:val="auto"/>
          <w:kern w:val="1"/>
          <w:sz w:val="28"/>
          <w:szCs w:val="28"/>
        </w:rPr>
        <w:t>。</w:t>
      </w:r>
    </w:p>
    <w:p w14:paraId="318C942C">
      <w:pPr>
        <w:spacing w:line="420" w:lineRule="exact"/>
        <w:rPr>
          <w:rFonts w:ascii="黑体" w:hAnsi="黑体" w:eastAsia="黑体" w:cs="宋体"/>
          <w:color w:val="auto"/>
          <w:kern w:val="0"/>
          <w:sz w:val="28"/>
          <w:szCs w:val="28"/>
        </w:rPr>
      </w:pPr>
      <w:r>
        <w:rPr>
          <w:rFonts w:hint="eastAsia" w:ascii="黑体" w:hAnsi="黑体" w:eastAsia="黑体" w:cs="宋体"/>
          <w:color w:val="auto"/>
          <w:kern w:val="0"/>
          <w:sz w:val="28"/>
          <w:szCs w:val="28"/>
        </w:rPr>
        <w:t>4</w:t>
      </w:r>
      <w:r>
        <w:rPr>
          <w:rFonts w:hint="eastAsia" w:ascii="黑体" w:hAnsi="黑体" w:eastAsia="黑体" w:cs="宋体"/>
          <w:color w:val="auto"/>
          <w:kern w:val="0"/>
          <w:sz w:val="28"/>
          <w:szCs w:val="28"/>
          <w:lang w:eastAsia="zh-CN"/>
        </w:rPr>
        <w:t>.</w:t>
      </w:r>
      <w:r>
        <w:rPr>
          <w:rFonts w:hint="eastAsia" w:ascii="黑体" w:hAnsi="黑体" w:eastAsia="黑体" w:cs="宋体"/>
          <w:color w:val="auto"/>
          <w:kern w:val="0"/>
          <w:sz w:val="28"/>
          <w:szCs w:val="28"/>
        </w:rPr>
        <w:t xml:space="preserve">付款方式及发票： </w:t>
      </w:r>
    </w:p>
    <w:p w14:paraId="506037F6">
      <w:pPr>
        <w:widowControl/>
        <w:shd w:val="clear" w:color="auto" w:fill="FFFFFF"/>
        <w:spacing w:line="400" w:lineRule="exact"/>
        <w:jc w:val="left"/>
        <w:rPr>
          <w:rFonts w:hint="default" w:ascii="黑体" w:hAnsi="黑体" w:eastAsia="黑体"/>
          <w:bCs/>
          <w:color w:val="auto"/>
          <w:sz w:val="28"/>
          <w:szCs w:val="28"/>
          <w:lang w:val="en-US" w:eastAsia="zh-CN"/>
        </w:rPr>
      </w:pPr>
      <w:r>
        <w:rPr>
          <w:rFonts w:hint="eastAsia" w:ascii="黑体" w:hAnsi="黑体" w:eastAsia="黑体" w:cs="黑体"/>
          <w:color w:val="auto"/>
          <w:kern w:val="0"/>
          <w:sz w:val="28"/>
          <w:szCs w:val="28"/>
        </w:rPr>
        <w:t>①</w:t>
      </w:r>
      <w:r>
        <w:rPr>
          <w:rFonts w:hint="eastAsia" w:ascii="黑体" w:hAnsi="黑体" w:eastAsia="黑体" w:cs="Segoe UI"/>
          <w:color w:val="auto"/>
          <w:kern w:val="0"/>
          <w:sz w:val="28"/>
          <w:szCs w:val="28"/>
        </w:rPr>
        <w:t>付款方式</w:t>
      </w:r>
      <w:r>
        <w:rPr>
          <w:rFonts w:hint="eastAsia" w:ascii="黑体" w:hAnsi="黑体" w:eastAsia="黑体" w:cs="Segoe UI"/>
          <w:color w:val="auto"/>
          <w:kern w:val="0"/>
          <w:sz w:val="28"/>
          <w:szCs w:val="28"/>
          <w:lang w:eastAsia="zh-CN"/>
        </w:rPr>
        <w:t>：</w:t>
      </w:r>
      <w:r>
        <w:rPr>
          <w:rFonts w:hint="eastAsia" w:ascii="黑体" w:hAnsi="黑体" w:eastAsia="黑体" w:cs="黑体"/>
          <w:color w:val="auto"/>
          <w:sz w:val="28"/>
          <w:szCs w:val="28"/>
          <w:lang w:eastAsia="zh-CN"/>
        </w:rPr>
        <w:t>以银行电汇或银行电子承兑汇票支付。</w:t>
      </w:r>
    </w:p>
    <w:p w14:paraId="3914BA72">
      <w:pPr>
        <w:spacing w:line="420" w:lineRule="exact"/>
        <w:rPr>
          <w:rFonts w:ascii="黑体" w:hAnsi="黑体" w:eastAsia="黑体" w:cs="宋体"/>
          <w:color w:val="auto"/>
          <w:kern w:val="0"/>
          <w:sz w:val="28"/>
          <w:szCs w:val="28"/>
        </w:rPr>
      </w:pPr>
      <w:r>
        <w:rPr>
          <w:rFonts w:hint="eastAsia" w:ascii="黑体" w:hAnsi="黑体" w:eastAsia="黑体" w:cs="黑体"/>
          <w:color w:val="auto"/>
          <w:kern w:val="0"/>
          <w:sz w:val="28"/>
          <w:szCs w:val="28"/>
        </w:rPr>
        <w:t>②</w:t>
      </w:r>
      <w:r>
        <w:rPr>
          <w:rFonts w:hint="eastAsia" w:ascii="黑体" w:hAnsi="黑体" w:eastAsia="黑体" w:cs="宋体"/>
          <w:color w:val="auto"/>
          <w:kern w:val="0"/>
          <w:sz w:val="28"/>
          <w:szCs w:val="28"/>
        </w:rPr>
        <w:t>一票制，供应商开具全额增值税专用发票(税率</w:t>
      </w:r>
      <w:r>
        <w:rPr>
          <w:rFonts w:hint="eastAsia" w:ascii="黑体" w:hAnsi="黑体" w:eastAsia="黑体" w:cs="宋体"/>
          <w:color w:val="auto"/>
          <w:kern w:val="0"/>
          <w:sz w:val="28"/>
          <w:szCs w:val="28"/>
          <w:lang w:val="en-US" w:eastAsia="zh-CN"/>
        </w:rPr>
        <w:t xml:space="preserve">  </w:t>
      </w:r>
      <w:r>
        <w:rPr>
          <w:rFonts w:hint="eastAsia" w:ascii="黑体" w:hAnsi="黑体" w:eastAsia="黑体" w:cs="宋体"/>
          <w:color w:val="auto"/>
          <w:kern w:val="0"/>
          <w:sz w:val="28"/>
          <w:szCs w:val="28"/>
        </w:rPr>
        <w:t>%)。</w:t>
      </w:r>
    </w:p>
    <w:p w14:paraId="6F201807">
      <w:pPr>
        <w:numPr>
          <w:ilvl w:val="0"/>
          <w:numId w:val="0"/>
        </w:numPr>
        <w:spacing w:line="420" w:lineRule="exact"/>
        <w:ind w:leftChars="0"/>
        <w:outlineLvl w:val="0"/>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比选文件的获取</w:t>
      </w:r>
    </w:p>
    <w:p w14:paraId="2AE6E591">
      <w:pPr>
        <w:numPr>
          <w:ilvl w:val="0"/>
          <w:numId w:val="0"/>
        </w:numPr>
        <w:spacing w:line="420" w:lineRule="exact"/>
        <w:ind w:leftChars="0"/>
        <w:outlineLvl w:val="0"/>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 xml:space="preserve">获取方式为：自 2025年7月31日15时 00 分至 2025年 8月4日 9时 00 分通过四川宏达股份有限公司集采中心招投标平台(以下简称“ 宏达股份集采平台”）（http://jc.sichuanhongda.com/）进行注册并登录后参与投标并下载比选文件。 </w:t>
      </w:r>
    </w:p>
    <w:p w14:paraId="504767B0">
      <w:pPr>
        <w:numPr>
          <w:ilvl w:val="0"/>
          <w:numId w:val="2"/>
        </w:numPr>
        <w:spacing w:line="420" w:lineRule="exact"/>
        <w:ind w:left="0" w:leftChars="0" w:firstLine="0" w:firstLineChars="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响应性文件的递交</w:t>
      </w:r>
    </w:p>
    <w:p w14:paraId="03D00619">
      <w:pPr>
        <w:spacing w:line="420" w:lineRule="exact"/>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递交截止时间：2025年8月4日 9 时 00 分。</w:t>
      </w:r>
    </w:p>
    <w:p w14:paraId="0E7C9B66">
      <w:pPr>
        <w:spacing w:line="420" w:lineRule="exact"/>
        <w:rPr>
          <w:rFonts w:hint="eastAsia" w:ascii="黑体" w:hAnsi="黑体" w:eastAsia="黑体" w:cs="仿宋_GB2312"/>
          <w:color w:val="auto"/>
          <w:sz w:val="28"/>
          <w:szCs w:val="28"/>
          <w:lang w:val="en-US" w:eastAsia="zh-CN"/>
        </w:rPr>
      </w:pPr>
      <w:r>
        <w:rPr>
          <w:rFonts w:hint="eastAsia" w:ascii="黑体" w:hAnsi="黑体" w:eastAsia="黑体" w:cs="黑体"/>
          <w:color w:val="auto"/>
          <w:kern w:val="0"/>
          <w:sz w:val="28"/>
          <w:szCs w:val="28"/>
          <w:lang w:val="en-US" w:eastAsia="zh-CN"/>
        </w:rPr>
        <w:t>比选申请</w:t>
      </w:r>
      <w:r>
        <w:rPr>
          <w:rFonts w:hint="eastAsia" w:ascii="黑体" w:hAnsi="黑体" w:eastAsia="黑体" w:cs="黑体"/>
          <w:color w:val="auto"/>
          <w:kern w:val="0"/>
          <w:sz w:val="28"/>
          <w:szCs w:val="28"/>
        </w:rPr>
        <w:t>人按本</w:t>
      </w:r>
      <w:r>
        <w:rPr>
          <w:rFonts w:hint="eastAsia" w:ascii="黑体" w:hAnsi="黑体" w:eastAsia="黑体" w:cs="黑体"/>
          <w:color w:val="auto"/>
          <w:kern w:val="0"/>
          <w:sz w:val="28"/>
          <w:szCs w:val="28"/>
          <w:lang w:val="en-US" w:eastAsia="zh-CN"/>
        </w:rPr>
        <w:t>比选</w:t>
      </w:r>
      <w:r>
        <w:rPr>
          <w:rFonts w:hint="eastAsia" w:ascii="黑体" w:hAnsi="黑体" w:eastAsia="黑体" w:cs="黑体"/>
          <w:color w:val="auto"/>
          <w:kern w:val="0"/>
          <w:sz w:val="28"/>
          <w:szCs w:val="28"/>
        </w:rPr>
        <w:t>文件</w:t>
      </w:r>
      <w:r>
        <w:rPr>
          <w:rFonts w:hint="eastAsia" w:ascii="黑体" w:hAnsi="黑体" w:eastAsia="黑体" w:cs="黑体"/>
          <w:color w:val="auto"/>
          <w:kern w:val="0"/>
          <w:sz w:val="28"/>
          <w:szCs w:val="28"/>
          <w:lang w:val="en-US" w:eastAsia="zh-CN"/>
        </w:rPr>
        <w:t>第三章响应性文件</w:t>
      </w:r>
      <w:r>
        <w:rPr>
          <w:rFonts w:hint="eastAsia" w:ascii="黑体" w:hAnsi="黑体" w:eastAsia="黑体" w:cs="黑体"/>
          <w:color w:val="auto"/>
          <w:kern w:val="0"/>
          <w:sz w:val="28"/>
          <w:szCs w:val="28"/>
        </w:rPr>
        <w:t>格式制作报价文件，</w:t>
      </w:r>
      <w:r>
        <w:rPr>
          <w:rFonts w:hint="eastAsia" w:ascii="黑体" w:hAnsi="黑体" w:eastAsia="黑体" w:cs="黑体"/>
          <w:color w:val="auto"/>
          <w:sz w:val="28"/>
          <w:szCs w:val="28"/>
        </w:rPr>
        <w:t>注明</w:t>
      </w:r>
      <w:r>
        <w:rPr>
          <w:rFonts w:hint="eastAsia" w:ascii="黑体" w:hAnsi="黑体" w:eastAsia="黑体" w:cs="黑体"/>
          <w:color w:val="auto"/>
          <w:kern w:val="0"/>
          <w:sz w:val="28"/>
          <w:szCs w:val="28"/>
        </w:rPr>
        <w:t>标的物名称、</w:t>
      </w:r>
      <w:r>
        <w:rPr>
          <w:rFonts w:hint="eastAsia" w:ascii="黑体" w:hAnsi="黑体" w:eastAsia="黑体" w:cs="黑体"/>
          <w:color w:val="auto"/>
          <w:sz w:val="28"/>
          <w:szCs w:val="28"/>
        </w:rPr>
        <w:t>单价（</w:t>
      </w:r>
      <w:r>
        <w:rPr>
          <w:rFonts w:hint="eastAsia" w:ascii="黑体" w:hAnsi="黑体" w:eastAsia="黑体" w:cs="黑体"/>
          <w:color w:val="auto"/>
          <w:sz w:val="28"/>
          <w:szCs w:val="28"/>
          <w:lang w:val="en-US" w:eastAsia="zh-CN"/>
        </w:rPr>
        <w:t>含</w:t>
      </w:r>
      <w:r>
        <w:rPr>
          <w:rFonts w:hint="eastAsia" w:ascii="黑体" w:hAnsi="黑体" w:eastAsia="黑体" w:cs="黑体"/>
          <w:color w:val="auto"/>
          <w:sz w:val="28"/>
          <w:szCs w:val="28"/>
        </w:rPr>
        <w:t>税</w:t>
      </w:r>
      <w:r>
        <w:rPr>
          <w:rFonts w:hint="eastAsia" w:ascii="黑体" w:hAnsi="黑体" w:eastAsia="黑体" w:cs="黑体"/>
          <w:color w:val="auto"/>
          <w:sz w:val="28"/>
          <w:szCs w:val="28"/>
          <w:lang w:val="en-US" w:eastAsia="zh-CN"/>
        </w:rPr>
        <w:t>价</w:t>
      </w:r>
      <w:r>
        <w:rPr>
          <w:rFonts w:hint="eastAsia" w:ascii="黑体" w:hAnsi="黑体" w:eastAsia="黑体" w:cs="黑体"/>
          <w:color w:val="auto"/>
          <w:sz w:val="28"/>
          <w:szCs w:val="28"/>
        </w:rPr>
        <w:t>）、合计金额、</w:t>
      </w:r>
      <w:r>
        <w:rPr>
          <w:rFonts w:hint="eastAsia" w:ascii="黑体" w:hAnsi="黑体" w:eastAsia="黑体" w:cs="黑体"/>
          <w:color w:val="auto"/>
          <w:sz w:val="28"/>
          <w:szCs w:val="28"/>
          <w:lang w:val="en-US" w:eastAsia="zh-CN"/>
        </w:rPr>
        <w:t>服务</w:t>
      </w:r>
      <w:r>
        <w:rPr>
          <w:rFonts w:hint="eastAsia" w:ascii="黑体" w:hAnsi="黑体" w:eastAsia="黑体" w:cs="黑体"/>
          <w:color w:val="auto"/>
          <w:sz w:val="28"/>
          <w:szCs w:val="28"/>
        </w:rPr>
        <w:t>期、付款方式等（若询价约定的标的物交货期、付款方式、质保期</w:t>
      </w:r>
      <w:r>
        <w:rPr>
          <w:rFonts w:hint="eastAsia" w:ascii="黑体" w:hAnsi="黑体" w:eastAsia="黑体" w:cs="黑体"/>
          <w:color w:val="auto"/>
          <w:sz w:val="28"/>
          <w:szCs w:val="28"/>
          <w:lang w:val="en-US" w:eastAsia="zh-CN"/>
        </w:rPr>
        <w:t>等</w:t>
      </w:r>
      <w:r>
        <w:rPr>
          <w:rFonts w:hint="eastAsia" w:ascii="黑体" w:hAnsi="黑体" w:eastAsia="黑体" w:cs="黑体"/>
          <w:color w:val="auto"/>
          <w:sz w:val="28"/>
          <w:szCs w:val="28"/>
        </w:rPr>
        <w:t>有异议，请在报价文件中另作说明）。</w:t>
      </w:r>
      <w:r>
        <w:rPr>
          <w:rFonts w:hint="eastAsia" w:ascii="黑体" w:hAnsi="黑体" w:eastAsia="黑体" w:cs="黑体"/>
          <w:color w:val="auto"/>
          <w:sz w:val="28"/>
          <w:szCs w:val="28"/>
          <w:lang w:val="en-US" w:eastAsia="zh-CN"/>
        </w:rPr>
        <w:t>所有上述资料组成响应性文件，比选申请人需将响应性文件打印盖章后，以电子文件方式（PDF、扫描文件等）上传至</w:t>
      </w:r>
      <w:r>
        <w:rPr>
          <w:rFonts w:hint="eastAsia" w:ascii="黑体" w:hAnsi="黑体" w:eastAsia="黑体" w:cs="黑体"/>
          <w:color w:val="auto"/>
          <w:kern w:val="2"/>
          <w:sz w:val="28"/>
          <w:szCs w:val="28"/>
          <w:lang w:val="en-US" w:eastAsia="zh-CN" w:bidi="ar-SA"/>
        </w:rPr>
        <w:t>宏达股份集采平台</w:t>
      </w:r>
      <w:r>
        <w:rPr>
          <w:rFonts w:hint="eastAsia" w:ascii="黑体" w:hAnsi="黑体" w:eastAsia="黑体" w:cs="黑体"/>
          <w:color w:val="auto"/>
          <w:sz w:val="28"/>
          <w:szCs w:val="28"/>
          <w:lang w:val="en-US" w:eastAsia="zh-CN"/>
        </w:rPr>
        <w:t>。</w:t>
      </w:r>
    </w:p>
    <w:p w14:paraId="0BDA6A4D">
      <w:pPr>
        <w:numPr>
          <w:ilvl w:val="0"/>
          <w:numId w:val="0"/>
        </w:numPr>
        <w:spacing w:line="420" w:lineRule="exact"/>
        <w:ind w:leftChars="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8.响应性文件的要求</w:t>
      </w:r>
    </w:p>
    <w:p w14:paraId="5C2DC8B1">
      <w:pPr>
        <w:numPr>
          <w:ilvl w:val="0"/>
          <w:numId w:val="0"/>
        </w:numPr>
        <w:spacing w:line="420" w:lineRule="exact"/>
        <w:ind w:leftChars="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①比选申请人需提供</w:t>
      </w:r>
      <w:bookmarkStart w:id="0" w:name="OLE_LINK3"/>
      <w:bookmarkStart w:id="1" w:name="OLE_LINK4"/>
      <w:r>
        <w:rPr>
          <w:rFonts w:hint="eastAsia" w:ascii="黑体" w:hAnsi="黑体" w:eastAsia="黑体" w:cs="仿宋_GB2312"/>
          <w:color w:val="auto"/>
          <w:sz w:val="28"/>
          <w:szCs w:val="28"/>
          <w:lang w:val="en-US" w:eastAsia="zh-CN"/>
        </w:rPr>
        <w:t>营业执照（三证合一）</w:t>
      </w:r>
      <w:bookmarkEnd w:id="0"/>
      <w:bookmarkEnd w:id="1"/>
      <w:r>
        <w:rPr>
          <w:rFonts w:hint="eastAsia" w:ascii="黑体" w:hAnsi="黑体" w:eastAsia="黑体" w:cs="仿宋_GB2312"/>
          <w:color w:val="auto"/>
          <w:sz w:val="28"/>
          <w:szCs w:val="28"/>
          <w:lang w:val="en-US" w:eastAsia="zh-CN"/>
        </w:rPr>
        <w:t>。</w:t>
      </w:r>
    </w:p>
    <w:p w14:paraId="539C008C">
      <w:pPr>
        <w:numPr>
          <w:ilvl w:val="0"/>
          <w:numId w:val="0"/>
        </w:numPr>
        <w:spacing w:line="420" w:lineRule="exact"/>
        <w:ind w:leftChars="0"/>
        <w:rPr>
          <w:rFonts w:ascii="黑体" w:hAnsi="黑体" w:eastAsia="黑体" w:cs="Segoe UI"/>
          <w:color w:val="auto"/>
          <w:kern w:val="0"/>
          <w:sz w:val="28"/>
          <w:szCs w:val="28"/>
        </w:rPr>
      </w:pPr>
      <w:r>
        <w:rPr>
          <w:rFonts w:hint="eastAsia" w:ascii="黑体" w:hAnsi="黑体" w:eastAsia="黑体" w:cs="仿宋_GB2312"/>
          <w:color w:val="auto"/>
          <w:sz w:val="28"/>
          <w:szCs w:val="28"/>
          <w:lang w:val="en-US" w:eastAsia="zh-CN"/>
        </w:rPr>
        <w:t>②提供相关服务业绩（附中标通知书或合同扫描件，中标通知书或合同包括已履约完成和正在履约均可，同一家</w:t>
      </w:r>
      <w:r>
        <w:rPr>
          <w:rFonts w:hint="eastAsia" w:ascii="黑体" w:hAnsi="黑体" w:eastAsia="黑体" w:cs="Segoe UI"/>
          <w:color w:val="auto"/>
          <w:kern w:val="0"/>
          <w:sz w:val="28"/>
          <w:szCs w:val="28"/>
        </w:rPr>
        <w:t>单位多次</w:t>
      </w:r>
      <w:r>
        <w:rPr>
          <w:rFonts w:hint="eastAsia" w:ascii="黑体" w:hAnsi="黑体" w:eastAsia="黑体" w:cs="Segoe UI"/>
          <w:color w:val="auto"/>
          <w:kern w:val="0"/>
          <w:sz w:val="28"/>
          <w:szCs w:val="28"/>
          <w:lang w:val="en-US" w:eastAsia="zh-CN"/>
        </w:rPr>
        <w:t>服务</w:t>
      </w:r>
      <w:r>
        <w:rPr>
          <w:rFonts w:hint="eastAsia" w:ascii="黑体" w:hAnsi="黑体" w:eastAsia="黑体" w:cs="Segoe UI"/>
          <w:color w:val="auto"/>
          <w:kern w:val="0"/>
          <w:sz w:val="28"/>
          <w:szCs w:val="28"/>
        </w:rPr>
        <w:t>，合同数量可累计）。</w:t>
      </w:r>
    </w:p>
    <w:p w14:paraId="54DDC833">
      <w:pPr>
        <w:spacing w:line="420" w:lineRule="exact"/>
        <w:rPr>
          <w:rFonts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9</w:t>
      </w:r>
      <w:r>
        <w:rPr>
          <w:rFonts w:hint="eastAsia" w:ascii="黑体" w:hAnsi="黑体" w:eastAsia="黑体" w:cs="宋体"/>
          <w:color w:val="auto"/>
          <w:kern w:val="0"/>
          <w:sz w:val="28"/>
          <w:szCs w:val="28"/>
          <w:lang w:eastAsia="zh-CN"/>
        </w:rPr>
        <w:t>.</w:t>
      </w:r>
      <w:r>
        <w:rPr>
          <w:rFonts w:hint="eastAsia" w:ascii="黑体" w:hAnsi="黑体" w:eastAsia="黑体" w:cs="Times New Roman"/>
          <w:color w:val="auto"/>
          <w:sz w:val="28"/>
          <w:szCs w:val="28"/>
        </w:rPr>
        <w:t>比选时不保证最低价中选，但充分注意合理的最低报价。</w:t>
      </w:r>
    </w:p>
    <w:p w14:paraId="56674FAE">
      <w:pPr>
        <w:spacing w:line="420" w:lineRule="exact"/>
        <w:rPr>
          <w:rFonts w:ascii="黑体" w:hAnsi="黑体" w:eastAsia="黑体" w:cs="宋体"/>
          <w:color w:val="auto"/>
          <w:kern w:val="0"/>
          <w:sz w:val="28"/>
          <w:szCs w:val="28"/>
        </w:rPr>
      </w:pPr>
      <w:r>
        <w:rPr>
          <w:rFonts w:hint="eastAsia" w:ascii="黑体" w:hAnsi="黑体" w:eastAsia="黑体" w:cs="宋体"/>
          <w:color w:val="auto"/>
          <w:kern w:val="0"/>
          <w:sz w:val="28"/>
          <w:szCs w:val="28"/>
        </w:rPr>
        <w:t>1</w:t>
      </w:r>
      <w:r>
        <w:rPr>
          <w:rFonts w:hint="eastAsia" w:ascii="黑体" w:hAnsi="黑体" w:eastAsia="黑体" w:cs="宋体"/>
          <w:color w:val="auto"/>
          <w:kern w:val="0"/>
          <w:sz w:val="28"/>
          <w:szCs w:val="28"/>
          <w:lang w:val="en-US" w:eastAsia="zh-CN"/>
        </w:rPr>
        <w:t>0</w:t>
      </w:r>
      <w:r>
        <w:rPr>
          <w:rFonts w:hint="eastAsia" w:ascii="黑体" w:hAnsi="黑体" w:eastAsia="黑体" w:cs="宋体"/>
          <w:color w:val="auto"/>
          <w:kern w:val="0"/>
          <w:sz w:val="28"/>
          <w:szCs w:val="28"/>
          <w:lang w:eastAsia="zh-CN"/>
        </w:rPr>
        <w:t>.</w:t>
      </w:r>
      <w:r>
        <w:rPr>
          <w:rFonts w:hint="eastAsia" w:ascii="黑体" w:hAnsi="黑体" w:eastAsia="黑体" w:cs="宋体"/>
          <w:color w:val="auto"/>
          <w:kern w:val="0"/>
          <w:sz w:val="28"/>
          <w:szCs w:val="28"/>
        </w:rPr>
        <w:t>交送报价文件前，供应商方可自愿前来我公司进行实地考查、技术交流或咨询。</w:t>
      </w:r>
    </w:p>
    <w:p w14:paraId="440F1485">
      <w:pPr>
        <w:spacing w:line="420" w:lineRule="exact"/>
        <w:rPr>
          <w:rFonts w:hint="default" w:ascii="黑体" w:hAnsi="黑体" w:eastAsia="黑体" w:cs="宋体"/>
          <w:b/>
          <w:bCs/>
          <w:color w:val="auto"/>
          <w:kern w:val="0"/>
          <w:sz w:val="28"/>
          <w:szCs w:val="28"/>
          <w:lang w:val="en-US" w:eastAsia="zh-CN"/>
        </w:rPr>
      </w:pPr>
      <w:r>
        <w:rPr>
          <w:rFonts w:hint="eastAsia" w:ascii="黑体" w:hAnsi="黑体" w:eastAsia="黑体" w:cs="宋体"/>
          <w:color w:val="auto"/>
          <w:kern w:val="0"/>
          <w:sz w:val="28"/>
          <w:szCs w:val="28"/>
        </w:rPr>
        <w:t>联系人：</w:t>
      </w:r>
      <w:r>
        <w:rPr>
          <w:rFonts w:hint="eastAsia" w:ascii="黑体" w:hAnsi="黑体" w:eastAsia="黑体" w:cs="宋体"/>
          <w:color w:val="auto"/>
          <w:kern w:val="0"/>
          <w:sz w:val="28"/>
          <w:szCs w:val="28"/>
          <w:lang w:val="en-US" w:eastAsia="zh-CN"/>
        </w:rPr>
        <w:t>程康15282839809  技术：吴少荣13890278137</w:t>
      </w:r>
    </w:p>
    <w:p w14:paraId="446C7FA9">
      <w:pPr>
        <w:adjustRightInd w:val="0"/>
        <w:spacing w:line="420" w:lineRule="exact"/>
        <w:jc w:val="left"/>
        <w:rPr>
          <w:rFonts w:ascii="黑体" w:hAnsi="黑体" w:eastAsia="黑体" w:cs="宋体"/>
          <w:color w:val="auto"/>
          <w:kern w:val="0"/>
          <w:sz w:val="28"/>
          <w:szCs w:val="28"/>
        </w:rPr>
      </w:pPr>
      <w:r>
        <w:rPr>
          <w:rFonts w:hint="eastAsia" w:ascii="黑体" w:hAnsi="黑体" w:eastAsia="黑体" w:cs="宋体"/>
          <w:color w:val="auto"/>
          <w:kern w:val="0"/>
          <w:sz w:val="28"/>
          <w:szCs w:val="28"/>
        </w:rPr>
        <w:t>地 址：四川省德阳市什邡市</w:t>
      </w:r>
      <w:r>
        <w:rPr>
          <w:rFonts w:hint="eastAsia" w:ascii="黑体" w:hAnsi="黑体" w:eastAsia="黑体" w:cs="宋体"/>
          <w:color w:val="auto"/>
          <w:kern w:val="0"/>
          <w:sz w:val="28"/>
          <w:szCs w:val="28"/>
          <w:lang w:val="en-US" w:eastAsia="zh-CN"/>
        </w:rPr>
        <w:t>师古</w:t>
      </w:r>
      <w:r>
        <w:rPr>
          <w:rFonts w:hint="eastAsia" w:ascii="黑体" w:hAnsi="黑体" w:eastAsia="黑体" w:cs="宋体"/>
          <w:color w:val="auto"/>
          <w:kern w:val="0"/>
          <w:sz w:val="28"/>
          <w:szCs w:val="28"/>
        </w:rPr>
        <w:t xml:space="preserve">镇          邮 编：618401           </w:t>
      </w:r>
    </w:p>
    <w:p w14:paraId="0BEE090F">
      <w:pPr>
        <w:pStyle w:val="5"/>
        <w:ind w:left="0" w:leftChars="0" w:firstLine="0" w:firstLineChars="0"/>
        <w:rPr>
          <w:rFonts w:ascii="黑体" w:hAnsi="黑体" w:eastAsia="黑体" w:cs="宋体"/>
          <w:color w:val="auto"/>
          <w:kern w:val="0"/>
          <w:sz w:val="28"/>
          <w:szCs w:val="28"/>
        </w:rPr>
      </w:pPr>
    </w:p>
    <w:p w14:paraId="6ED43AE4">
      <w:pPr>
        <w:rPr>
          <w:rFonts w:ascii="黑体" w:hAnsi="黑体" w:eastAsia="黑体" w:cs="宋体"/>
          <w:color w:val="auto"/>
          <w:kern w:val="0"/>
          <w:sz w:val="28"/>
          <w:szCs w:val="28"/>
        </w:rPr>
      </w:pPr>
    </w:p>
    <w:p w14:paraId="20636B28">
      <w:pPr>
        <w:pStyle w:val="5"/>
        <w:rPr>
          <w:color w:val="auto"/>
        </w:rPr>
      </w:pPr>
    </w:p>
    <w:p w14:paraId="66F7E5C6">
      <w:pPr>
        <w:spacing w:line="420" w:lineRule="exact"/>
        <w:ind w:firstLine="5880" w:firstLineChars="2100"/>
        <w:rPr>
          <w:rFonts w:hint="default" w:ascii="黑体" w:hAnsi="黑体" w:eastAsia="黑体" w:cs="宋体"/>
          <w:color w:val="auto"/>
          <w:kern w:val="0"/>
          <w:sz w:val="28"/>
          <w:szCs w:val="28"/>
          <w:lang w:val="en-US" w:eastAsia="zh-CN"/>
        </w:rPr>
      </w:pPr>
      <w:bookmarkStart w:id="15" w:name="_GoBack"/>
      <w:bookmarkEnd w:id="15"/>
      <w:r>
        <w:rPr>
          <w:rFonts w:hint="eastAsia" w:ascii="黑体" w:hAnsi="黑体" w:eastAsia="黑体" w:cs="宋体"/>
          <w:color w:val="auto"/>
          <w:kern w:val="0"/>
          <w:sz w:val="28"/>
          <w:szCs w:val="28"/>
          <w:lang w:val="en-US" w:eastAsia="zh-CN"/>
        </w:rPr>
        <w:t>有色金属分公司</w:t>
      </w:r>
    </w:p>
    <w:p w14:paraId="2A7A58D4">
      <w:pPr>
        <w:spacing w:line="420" w:lineRule="exact"/>
        <w:ind w:firstLine="5880" w:firstLineChars="2100"/>
        <w:rPr>
          <w:rFonts w:ascii="黑体" w:hAnsi="黑体" w:eastAsia="黑体" w:cs="宋体"/>
          <w:color w:val="auto"/>
          <w:kern w:val="0"/>
          <w:sz w:val="28"/>
          <w:szCs w:val="28"/>
        </w:rPr>
      </w:pPr>
      <w:r>
        <w:rPr>
          <w:rFonts w:hint="eastAsia" w:ascii="黑体" w:hAnsi="黑体" w:eastAsia="黑体" w:cs="宋体"/>
          <w:color w:val="auto"/>
          <w:kern w:val="0"/>
          <w:sz w:val="28"/>
          <w:szCs w:val="28"/>
        </w:rPr>
        <w:t>2025年</w:t>
      </w:r>
      <w:r>
        <w:rPr>
          <w:rFonts w:hint="eastAsia" w:ascii="黑体" w:hAnsi="黑体" w:eastAsia="黑体" w:cs="宋体"/>
          <w:color w:val="auto"/>
          <w:kern w:val="0"/>
          <w:sz w:val="28"/>
          <w:szCs w:val="28"/>
          <w:lang w:val="en-US" w:eastAsia="zh-CN"/>
        </w:rPr>
        <w:t>7</w:t>
      </w:r>
      <w:r>
        <w:rPr>
          <w:rFonts w:hint="eastAsia" w:ascii="黑体" w:hAnsi="黑体" w:eastAsia="黑体" w:cs="宋体"/>
          <w:color w:val="auto"/>
          <w:kern w:val="0"/>
          <w:sz w:val="28"/>
          <w:szCs w:val="28"/>
        </w:rPr>
        <w:t>月</w:t>
      </w:r>
      <w:r>
        <w:rPr>
          <w:rFonts w:hint="eastAsia" w:ascii="黑体" w:hAnsi="黑体" w:eastAsia="黑体" w:cs="宋体"/>
          <w:color w:val="auto"/>
          <w:kern w:val="0"/>
          <w:sz w:val="28"/>
          <w:szCs w:val="28"/>
          <w:lang w:val="en-US" w:eastAsia="zh-CN"/>
        </w:rPr>
        <w:t>31</w:t>
      </w:r>
      <w:r>
        <w:rPr>
          <w:rFonts w:hint="eastAsia" w:ascii="黑体" w:hAnsi="黑体" w:eastAsia="黑体" w:cs="宋体"/>
          <w:color w:val="auto"/>
          <w:kern w:val="0"/>
          <w:sz w:val="28"/>
          <w:szCs w:val="28"/>
        </w:rPr>
        <w:t>日</w:t>
      </w:r>
    </w:p>
    <w:p w14:paraId="104BB685">
      <w:pPr>
        <w:spacing w:line="420" w:lineRule="exact"/>
        <w:rPr>
          <w:rFonts w:hint="eastAsia" w:ascii="黑体" w:hAnsi="黑体" w:eastAsia="黑体" w:cs="宋体"/>
          <w:b/>
          <w:color w:val="auto"/>
          <w:kern w:val="0"/>
          <w:sz w:val="28"/>
          <w:szCs w:val="28"/>
        </w:rPr>
      </w:pPr>
    </w:p>
    <w:p w14:paraId="0A9B5430">
      <w:pPr>
        <w:spacing w:line="360" w:lineRule="exact"/>
        <w:rPr>
          <w:rFonts w:hint="eastAsia" w:ascii="黑体" w:hAnsi="黑体" w:eastAsia="黑体" w:cs="宋体"/>
          <w:b/>
          <w:color w:val="auto"/>
          <w:kern w:val="0"/>
          <w:sz w:val="28"/>
          <w:szCs w:val="28"/>
        </w:rPr>
      </w:pPr>
    </w:p>
    <w:p w14:paraId="12331C79">
      <w:pPr>
        <w:pStyle w:val="49"/>
        <w:rPr>
          <w:rFonts w:hint="eastAsia"/>
          <w:color w:val="auto"/>
        </w:rPr>
      </w:pPr>
    </w:p>
    <w:p w14:paraId="77262E01">
      <w:pPr>
        <w:spacing w:line="360" w:lineRule="exact"/>
        <w:rPr>
          <w:rFonts w:hint="eastAsia" w:ascii="黑体" w:hAnsi="黑体" w:eastAsia="黑体" w:cs="宋体"/>
          <w:b/>
          <w:color w:val="auto"/>
          <w:kern w:val="0"/>
          <w:sz w:val="28"/>
          <w:szCs w:val="28"/>
        </w:rPr>
      </w:pPr>
    </w:p>
    <w:p w14:paraId="4E4B15C3">
      <w:pPr>
        <w:spacing w:line="360" w:lineRule="exact"/>
        <w:rPr>
          <w:rFonts w:hint="eastAsia" w:ascii="黑体" w:hAnsi="黑体" w:eastAsia="黑体" w:cs="宋体"/>
          <w:b/>
          <w:color w:val="auto"/>
          <w:kern w:val="0"/>
          <w:sz w:val="28"/>
          <w:szCs w:val="28"/>
        </w:rPr>
      </w:pPr>
    </w:p>
    <w:p w14:paraId="37EDF4DE">
      <w:pPr>
        <w:spacing w:line="360" w:lineRule="exact"/>
        <w:rPr>
          <w:rFonts w:hint="eastAsia" w:ascii="黑体" w:hAnsi="黑体" w:eastAsia="黑体" w:cs="宋体"/>
          <w:b/>
          <w:color w:val="auto"/>
          <w:kern w:val="0"/>
          <w:sz w:val="28"/>
          <w:szCs w:val="28"/>
        </w:rPr>
      </w:pPr>
    </w:p>
    <w:p w14:paraId="43C42125">
      <w:pPr>
        <w:spacing w:line="360" w:lineRule="exact"/>
        <w:rPr>
          <w:rFonts w:hint="eastAsia" w:ascii="黑体" w:hAnsi="黑体" w:eastAsia="黑体" w:cs="宋体"/>
          <w:b/>
          <w:color w:val="auto"/>
          <w:kern w:val="0"/>
          <w:sz w:val="28"/>
          <w:szCs w:val="28"/>
        </w:rPr>
      </w:pPr>
    </w:p>
    <w:p w14:paraId="64827940">
      <w:pPr>
        <w:spacing w:line="360" w:lineRule="exact"/>
        <w:rPr>
          <w:rFonts w:hint="eastAsia" w:ascii="黑体" w:hAnsi="黑体" w:eastAsia="黑体" w:cs="宋体"/>
          <w:b/>
          <w:color w:val="auto"/>
          <w:kern w:val="0"/>
          <w:sz w:val="28"/>
          <w:szCs w:val="28"/>
        </w:rPr>
      </w:pPr>
    </w:p>
    <w:p w14:paraId="5EE89FF4">
      <w:pPr>
        <w:jc w:val="both"/>
        <w:rPr>
          <w:rFonts w:hint="eastAsia" w:ascii="宋体" w:hAnsi="宋体" w:cs="仿宋" w:eastAsiaTheme="minorEastAsia"/>
          <w:color w:val="auto"/>
          <w:szCs w:val="21"/>
          <w:lang w:val="en-US" w:eastAsia="zh-CN"/>
        </w:rPr>
      </w:pPr>
      <w:bookmarkStart w:id="2" w:name="_Toc275019684"/>
      <w:bookmarkStart w:id="3" w:name="_Toc274596702"/>
      <w:bookmarkStart w:id="4" w:name="_Toc318986166"/>
      <w:bookmarkStart w:id="5" w:name="_Toc269113527"/>
      <w:bookmarkStart w:id="6" w:name="_Toc16684"/>
      <w:bookmarkStart w:id="7" w:name="_Toc238797630"/>
      <w:bookmarkStart w:id="8" w:name="_Toc303149804"/>
      <w:bookmarkStart w:id="9" w:name="_Toc268793030"/>
      <w:bookmarkStart w:id="10" w:name="_Toc275019290"/>
      <w:bookmarkStart w:id="11" w:name="_Toc275014947"/>
      <w:bookmarkStart w:id="12" w:name="_Toc275019836"/>
      <w:bookmarkStart w:id="13" w:name="_Toc238552273"/>
      <w:bookmarkStart w:id="14" w:name="_Toc274236999"/>
      <w:r>
        <w:rPr>
          <w:rFonts w:hint="eastAsia" w:ascii="宋体" w:hAnsi="宋体"/>
          <w:color w:val="auto"/>
          <w:kern w:val="0"/>
          <w:szCs w:val="21"/>
        </w:rPr>
        <w:br w:type="page"/>
      </w:r>
      <w:bookmarkEnd w:id="2"/>
      <w:bookmarkEnd w:id="3"/>
      <w:bookmarkEnd w:id="4"/>
      <w:bookmarkEnd w:id="5"/>
      <w:bookmarkEnd w:id="6"/>
      <w:bookmarkEnd w:id="7"/>
      <w:bookmarkEnd w:id="8"/>
      <w:bookmarkEnd w:id="9"/>
      <w:bookmarkEnd w:id="10"/>
      <w:bookmarkEnd w:id="11"/>
      <w:bookmarkEnd w:id="12"/>
      <w:bookmarkEnd w:id="13"/>
      <w:bookmarkEnd w:id="14"/>
      <w:r>
        <w:rPr>
          <w:rFonts w:hint="eastAsia" w:ascii="宋体" w:hAnsi="宋体"/>
          <w:color w:val="auto"/>
          <w:kern w:val="0"/>
          <w:szCs w:val="21"/>
          <w:lang w:val="en-US" w:eastAsia="zh-CN"/>
        </w:rPr>
        <w:t xml:space="preserve"> </w:t>
      </w:r>
    </w:p>
    <w:p w14:paraId="16DFE2E5">
      <w:pPr>
        <w:kinsoku/>
        <w:overflowPunct/>
        <w:topLinePunct w:val="0"/>
        <w:bidi w:val="0"/>
        <w:ind w:left="0" w:leftChars="0" w:right="0" w:rightChars="0" w:firstLine="640" w:firstLineChars="200"/>
        <w:jc w:val="center"/>
        <w:rPr>
          <w:rFonts w:hint="eastAsia" w:ascii="黑体" w:hAnsi="宋体" w:eastAsia="黑体"/>
          <w:color w:val="auto"/>
          <w:sz w:val="32"/>
          <w:szCs w:val="32"/>
          <w:lang w:val="en-US" w:eastAsia="zh-CN"/>
        </w:rPr>
      </w:pPr>
      <w:r>
        <w:rPr>
          <w:rFonts w:hint="eastAsia" w:ascii="黑体" w:hAnsi="宋体" w:eastAsia="黑体"/>
          <w:color w:val="auto"/>
          <w:sz w:val="32"/>
          <w:szCs w:val="32"/>
        </w:rPr>
        <w:t xml:space="preserve"> </w:t>
      </w:r>
      <w:r>
        <w:rPr>
          <w:rFonts w:hint="eastAsia" w:ascii="黑体" w:hAnsi="宋体" w:eastAsia="黑体"/>
          <w:color w:val="auto"/>
          <w:sz w:val="32"/>
          <w:szCs w:val="32"/>
          <w:lang w:val="en-US" w:eastAsia="zh-CN"/>
        </w:rPr>
        <w:t xml:space="preserve">第三章 </w:t>
      </w:r>
    </w:p>
    <w:p w14:paraId="711C438E">
      <w:pPr>
        <w:kinsoku/>
        <w:overflowPunct/>
        <w:topLinePunct w:val="0"/>
        <w:bidi w:val="0"/>
        <w:ind w:left="0" w:leftChars="0" w:right="0" w:rightChars="0" w:firstLine="640" w:firstLineChars="200"/>
        <w:jc w:val="center"/>
        <w:rPr>
          <w:rFonts w:hint="eastAsia" w:ascii="黑体" w:hAnsi="宋体" w:eastAsia="黑体"/>
          <w:color w:val="auto"/>
          <w:sz w:val="32"/>
          <w:szCs w:val="32"/>
          <w:lang w:val="zh-CN"/>
        </w:rPr>
      </w:pPr>
      <w:r>
        <w:rPr>
          <w:rFonts w:hint="eastAsia" w:ascii="黑体" w:hAnsi="宋体" w:eastAsia="黑体"/>
          <w:color w:val="auto"/>
          <w:sz w:val="32"/>
          <w:szCs w:val="32"/>
          <w:lang w:val="en-US" w:eastAsia="zh-CN"/>
        </w:rPr>
        <w:t>报价</w:t>
      </w:r>
      <w:r>
        <w:rPr>
          <w:rFonts w:hint="eastAsia" w:ascii="黑体" w:hAnsi="宋体" w:eastAsia="黑体"/>
          <w:color w:val="auto"/>
          <w:sz w:val="32"/>
          <w:szCs w:val="32"/>
          <w:lang w:val="zh-CN"/>
        </w:rPr>
        <w:t>文件格式</w:t>
      </w:r>
    </w:p>
    <w:p w14:paraId="6EBD788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11375BDB">
      <w:pPr>
        <w:kinsoku/>
        <w:overflowPunct/>
        <w:topLinePunct w:val="0"/>
        <w:bidi w:val="0"/>
        <w:ind w:left="0" w:leftChars="0" w:right="0" w:rightChars="0" w:firstLine="640" w:firstLineChars="200"/>
        <w:jc w:val="center"/>
        <w:rPr>
          <w:rFonts w:hint="eastAsia" w:ascii="黑体" w:hAnsi="宋体" w:eastAsia="黑体"/>
          <w:color w:val="auto"/>
          <w:sz w:val="32"/>
          <w:szCs w:val="32"/>
          <w:lang w:val="en-US" w:eastAsia="zh-CN"/>
        </w:rPr>
      </w:pPr>
      <w:r>
        <w:rPr>
          <w:rFonts w:hint="eastAsia" w:ascii="黑体" w:hAnsi="宋体" w:eastAsia="黑体"/>
          <w:color w:val="auto"/>
          <w:sz w:val="32"/>
          <w:szCs w:val="32"/>
          <w:lang w:val="en-US" w:eastAsia="zh-CN"/>
        </w:rPr>
        <w:t>地下水调查溯源服务</w:t>
      </w:r>
    </w:p>
    <w:p w14:paraId="038AF0B6">
      <w:pPr>
        <w:kinsoku/>
        <w:overflowPunct/>
        <w:topLinePunct w:val="0"/>
        <w:bidi w:val="0"/>
        <w:ind w:left="0" w:leftChars="0" w:right="0" w:rightChars="0" w:firstLine="1680" w:firstLineChars="200"/>
        <w:jc w:val="center"/>
        <w:rPr>
          <w:rFonts w:hint="eastAsia" w:ascii="黑体" w:eastAsia="黑体"/>
          <w:color w:val="auto"/>
          <w:sz w:val="84"/>
          <w:szCs w:val="84"/>
        </w:rPr>
      </w:pPr>
    </w:p>
    <w:p w14:paraId="65B7478D">
      <w:pPr>
        <w:kinsoku/>
        <w:overflowPunct/>
        <w:topLinePunct w:val="0"/>
        <w:bidi w:val="0"/>
        <w:ind w:left="0" w:leftChars="0" w:right="0" w:rightChars="0" w:firstLine="1680" w:firstLineChars="200"/>
        <w:jc w:val="center"/>
        <w:rPr>
          <w:rFonts w:hint="eastAsia" w:ascii="黑体" w:eastAsia="黑体"/>
          <w:color w:val="auto"/>
          <w:sz w:val="84"/>
          <w:szCs w:val="84"/>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center"/>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513F1F8D">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4C40C09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91A756">
      <w:pPr>
        <w:kinsoku/>
        <w:overflowPunct/>
        <w:topLinePunct w:val="0"/>
        <w:bidi w:val="0"/>
        <w:ind w:left="0" w:leftChars="0" w:right="0" w:rightChars="0" w:firstLine="1285" w:firstLineChars="400"/>
        <w:rPr>
          <w:rFonts w:hint="eastAsia" w:ascii="新宋体" w:hAnsi="新宋体" w:eastAsia="楷体_GB2312" w:cs="新宋体"/>
          <w:b/>
          <w:color w:val="auto"/>
          <w:sz w:val="32"/>
          <w:u w:val="single"/>
          <w:lang w:val="en-US" w:eastAsia="zh-CN"/>
        </w:rPr>
      </w:pPr>
    </w:p>
    <w:p w14:paraId="25B4D47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F7017DE">
      <w:pPr>
        <w:kinsoku/>
        <w:overflowPunct/>
        <w:topLinePunct w:val="0"/>
        <w:bidi w:val="0"/>
        <w:ind w:left="0" w:leftChars="0" w:right="0" w:rightChars="0" w:firstLine="562" w:firstLineChars="200"/>
        <w:jc w:val="left"/>
        <w:rPr>
          <w:rFonts w:hint="eastAsia" w:ascii="宋体" w:hAnsi="宋体" w:cs="宋体"/>
          <w:b/>
          <w:bCs/>
          <w:color w:val="auto"/>
          <w:sz w:val="28"/>
          <w:szCs w:val="28"/>
        </w:rPr>
      </w:pPr>
      <w:r>
        <w:rPr>
          <w:rFonts w:hint="eastAsia" w:ascii="宋体" w:hAnsi="宋体" w:cs="宋体"/>
          <w:b/>
          <w:bCs/>
          <w:color w:val="auto"/>
          <w:sz w:val="28"/>
          <w:szCs w:val="28"/>
        </w:rPr>
        <w:br w:type="page"/>
      </w:r>
    </w:p>
    <w:p w14:paraId="078365C6">
      <w:pPr>
        <w:kinsoku/>
        <w:overflowPunct/>
        <w:topLinePunct w:val="0"/>
        <w:bidi w:val="0"/>
        <w:ind w:left="0" w:leftChars="0" w:right="0" w:rightChars="0" w:firstLine="562" w:firstLineChars="200"/>
        <w:jc w:val="left"/>
        <w:rPr>
          <w:rFonts w:hint="default" w:ascii="宋体" w:hAnsi="宋体" w:cs="宋体" w:eastAsiaTheme="minorEastAsia"/>
          <w:b/>
          <w:bCs/>
          <w:color w:val="auto"/>
          <w:sz w:val="28"/>
          <w:szCs w:val="28"/>
          <w:lang w:val="en-US" w:eastAsia="zh-CN"/>
        </w:rPr>
      </w:pPr>
      <w:r>
        <w:rPr>
          <w:rFonts w:hint="eastAsia" w:ascii="宋体" w:hAnsi="宋体" w:cs="宋体"/>
          <w:b/>
          <w:bCs/>
          <w:color w:val="auto"/>
          <w:sz w:val="28"/>
          <w:szCs w:val="28"/>
          <w:lang w:val="en-US" w:eastAsia="zh-CN"/>
        </w:rPr>
        <w:t>二</w:t>
      </w:r>
      <w:r>
        <w:rPr>
          <w:rFonts w:hint="eastAsia" w:ascii="宋体" w:hAnsi="宋体" w:cs="宋体"/>
          <w:b/>
          <w:bCs/>
          <w:color w:val="auto"/>
          <w:sz w:val="28"/>
          <w:szCs w:val="28"/>
        </w:rPr>
        <w:t>、</w:t>
      </w:r>
      <w:r>
        <w:rPr>
          <w:rFonts w:hint="eastAsia" w:ascii="宋体" w:hAnsi="宋体" w:cs="宋体"/>
          <w:b/>
          <w:bCs/>
          <w:color w:val="auto"/>
          <w:sz w:val="28"/>
          <w:szCs w:val="28"/>
          <w:lang w:val="en-US" w:eastAsia="zh-CN"/>
        </w:rPr>
        <w:t>营业执照及资质文件</w:t>
      </w:r>
    </w:p>
    <w:p w14:paraId="178998BF">
      <w:pPr>
        <w:widowControl/>
        <w:kinsoku/>
        <w:overflowPunct/>
        <w:topLinePunct w:val="0"/>
        <w:bidi w:val="0"/>
        <w:spacing w:line="360" w:lineRule="auto"/>
        <w:ind w:left="0" w:leftChars="0" w:right="0" w:rightChars="0" w:firstLine="480" w:firstLineChars="200"/>
        <w:rPr>
          <w:rFonts w:ascii="宋体" w:hAnsi="宋体" w:cs="宋体"/>
          <w:color w:val="auto"/>
          <w:sz w:val="24"/>
        </w:rPr>
        <w:sectPr>
          <w:footerReference r:id="rId6" w:type="default"/>
          <w:footerReference r:id="rId7" w:type="even"/>
          <w:pgSz w:w="11906" w:h="16838"/>
          <w:pgMar w:top="1440" w:right="1191" w:bottom="1440" w:left="1191" w:header="851" w:footer="992" w:gutter="0"/>
          <w:pgNumType w:start="0"/>
          <w:cols w:space="720" w:num="1"/>
          <w:titlePg/>
          <w:docGrid w:type="lines" w:linePitch="312" w:charSpace="0"/>
        </w:sectPr>
      </w:pPr>
      <w:r>
        <w:rPr>
          <w:rFonts w:hint="eastAsia" w:ascii="宋体" w:hAnsi="宋体" w:cs="宋体"/>
          <w:color w:val="auto"/>
          <w:sz w:val="24"/>
          <w:lang w:val="en-US" w:eastAsia="zh-CN"/>
        </w:rPr>
        <w:t>1、</w:t>
      </w:r>
    </w:p>
    <w:p w14:paraId="7C6ABE72">
      <w:pPr>
        <w:rPr>
          <w:rFonts w:hint="eastAsia" w:ascii="宋体" w:hAnsi="宋体" w:eastAsia="宋体"/>
          <w:b/>
          <w:color w:val="auto"/>
          <w:lang w:val="en-US" w:eastAsia="zh-CN"/>
        </w:rPr>
      </w:pPr>
    </w:p>
    <w:p w14:paraId="79E6E945">
      <w:pPr>
        <w:pStyle w:val="50"/>
        <w:numPr>
          <w:ilvl w:val="0"/>
          <w:numId w:val="1"/>
        </w:numPr>
        <w:kinsoku/>
        <w:overflowPunct/>
        <w:topLinePunct w:val="0"/>
        <w:bidi w:val="0"/>
        <w:spacing w:line="360" w:lineRule="auto"/>
        <w:ind w:left="0" w:leftChars="0" w:right="0" w:rightChars="0" w:firstLine="0" w:firstLineChars="0"/>
        <w:jc w:val="center"/>
        <w:rPr>
          <w:rFonts w:hint="eastAsia" w:ascii="宋体" w:hAnsi="宋体" w:eastAsia="宋体"/>
          <w:b/>
          <w:color w:val="auto"/>
        </w:rPr>
      </w:pPr>
      <w:r>
        <w:rPr>
          <w:rFonts w:hint="eastAsia" w:ascii="宋体" w:hAnsi="宋体" w:eastAsia="宋体"/>
          <w:b/>
          <w:color w:val="auto"/>
        </w:rPr>
        <w:t>报价表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2"/>
        <w:gridCol w:w="4329"/>
        <w:gridCol w:w="2232"/>
        <w:gridCol w:w="1752"/>
        <w:gridCol w:w="2508"/>
      </w:tblGrid>
      <w:tr w14:paraId="21A10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2362" w:type="dxa"/>
            <w:shd w:val="clear" w:color="auto" w:fill="auto"/>
            <w:vAlign w:val="center"/>
          </w:tcPr>
          <w:p w14:paraId="0861AA60">
            <w:pPr>
              <w:jc w:val="center"/>
              <w:rPr>
                <w:rFonts w:hint="eastAsia" w:ascii="黑体" w:hAnsi="黑体" w:eastAsia="黑体" w:cstheme="minorBidi"/>
                <w:b/>
                <w:bCs/>
                <w:color w:val="auto"/>
                <w:kern w:val="2"/>
                <w:sz w:val="28"/>
                <w:szCs w:val="28"/>
                <w:lang w:val="en-US" w:eastAsia="zh-CN" w:bidi="ar-SA"/>
              </w:rPr>
            </w:pPr>
            <w:r>
              <w:rPr>
                <w:rFonts w:hint="eastAsia" w:ascii="黑体" w:hAnsi="黑体" w:eastAsia="黑体"/>
                <w:b/>
                <w:bCs/>
                <w:color w:val="auto"/>
                <w:sz w:val="28"/>
                <w:szCs w:val="28"/>
              </w:rPr>
              <w:t>项目名称</w:t>
            </w:r>
          </w:p>
        </w:tc>
        <w:tc>
          <w:tcPr>
            <w:tcW w:w="4329" w:type="dxa"/>
            <w:shd w:val="clear" w:color="auto" w:fill="auto"/>
            <w:vAlign w:val="center"/>
          </w:tcPr>
          <w:p w14:paraId="632301B8">
            <w:pPr>
              <w:jc w:val="center"/>
              <w:rPr>
                <w:rFonts w:hint="eastAsia" w:ascii="黑体" w:hAnsi="黑体" w:eastAsia="黑体" w:cs="黑体"/>
                <w:b/>
                <w:bCs/>
                <w:color w:val="auto"/>
                <w:kern w:val="2"/>
                <w:sz w:val="28"/>
                <w:szCs w:val="28"/>
                <w:lang w:val="en-US" w:eastAsia="zh-CN" w:bidi="ar-SA"/>
              </w:rPr>
            </w:pPr>
            <w:r>
              <w:rPr>
                <w:rFonts w:hint="eastAsia" w:ascii="黑体" w:hAnsi="黑体" w:eastAsia="黑体" w:cs="黑体"/>
                <w:b/>
                <w:bCs/>
                <w:color w:val="auto"/>
                <w:sz w:val="28"/>
                <w:szCs w:val="28"/>
              </w:rPr>
              <w:t>内容</w:t>
            </w:r>
          </w:p>
        </w:tc>
        <w:tc>
          <w:tcPr>
            <w:tcW w:w="2232" w:type="dxa"/>
            <w:shd w:val="clear" w:color="auto" w:fill="auto"/>
            <w:vAlign w:val="center"/>
          </w:tcPr>
          <w:p w14:paraId="67B0B6EB">
            <w:pPr>
              <w:pStyle w:val="52"/>
              <w:spacing w:line="400" w:lineRule="exact"/>
              <w:rPr>
                <w:rFonts w:hint="eastAsia" w:ascii="黑体" w:hAnsi="黑体" w:eastAsia="黑体" w:cs="Arial"/>
                <w:color w:val="auto"/>
                <w:kern w:val="2"/>
                <w:sz w:val="28"/>
                <w:szCs w:val="28"/>
                <w:lang w:val="en-US" w:eastAsia="zh-CN" w:bidi="ar-SA"/>
              </w:rPr>
            </w:pPr>
            <w:r>
              <w:rPr>
                <w:rFonts w:hint="eastAsia" w:ascii="黑体" w:hAnsi="黑体" w:eastAsia="黑体"/>
                <w:color w:val="auto"/>
                <w:sz w:val="28"/>
                <w:szCs w:val="28"/>
              </w:rPr>
              <w:t>总金额</w:t>
            </w:r>
            <w:r>
              <w:rPr>
                <w:rFonts w:hint="eastAsia" w:ascii="黑体" w:hAnsi="黑体" w:eastAsia="黑体"/>
                <w:color w:val="auto"/>
                <w:sz w:val="28"/>
                <w:szCs w:val="28"/>
                <w:lang w:eastAsia="zh-CN"/>
              </w:rPr>
              <w:t>（</w:t>
            </w:r>
            <w:r>
              <w:rPr>
                <w:rFonts w:hint="eastAsia" w:ascii="黑体" w:hAnsi="黑体" w:eastAsia="黑体"/>
                <w:color w:val="auto"/>
                <w:sz w:val="28"/>
                <w:szCs w:val="28"/>
                <w:lang w:val="en-US" w:eastAsia="zh-CN"/>
              </w:rPr>
              <w:t>元</w:t>
            </w:r>
            <w:r>
              <w:rPr>
                <w:rFonts w:hint="eastAsia" w:ascii="黑体" w:hAnsi="黑体" w:eastAsia="黑体"/>
                <w:color w:val="auto"/>
                <w:sz w:val="28"/>
                <w:szCs w:val="28"/>
                <w:lang w:eastAsia="zh-CN"/>
              </w:rPr>
              <w:t>）</w:t>
            </w:r>
          </w:p>
        </w:tc>
        <w:tc>
          <w:tcPr>
            <w:tcW w:w="1752" w:type="dxa"/>
            <w:shd w:val="clear" w:color="auto" w:fill="auto"/>
            <w:vAlign w:val="center"/>
          </w:tcPr>
          <w:p w14:paraId="0539FA39">
            <w:pPr>
              <w:pStyle w:val="52"/>
              <w:spacing w:line="400" w:lineRule="exact"/>
              <w:rPr>
                <w:rFonts w:hint="eastAsia" w:ascii="黑体" w:hAnsi="黑体" w:eastAsia="黑体"/>
                <w:color w:val="auto"/>
                <w:sz w:val="28"/>
                <w:szCs w:val="28"/>
                <w:lang w:val="en-US" w:eastAsia="zh-CN"/>
              </w:rPr>
            </w:pPr>
            <w:r>
              <w:rPr>
                <w:rFonts w:hint="eastAsia" w:ascii="黑体" w:hAnsi="黑体" w:eastAsia="黑体"/>
                <w:color w:val="auto"/>
                <w:sz w:val="28"/>
                <w:szCs w:val="28"/>
                <w:lang w:val="en-US" w:eastAsia="zh-CN"/>
              </w:rPr>
              <w:t>税率</w:t>
            </w:r>
          </w:p>
        </w:tc>
        <w:tc>
          <w:tcPr>
            <w:tcW w:w="2508" w:type="dxa"/>
            <w:vAlign w:val="center"/>
          </w:tcPr>
          <w:p w14:paraId="191543B5">
            <w:pPr>
              <w:pStyle w:val="52"/>
              <w:spacing w:line="400" w:lineRule="exact"/>
              <w:jc w:val="center"/>
              <w:rPr>
                <w:rFonts w:hint="eastAsia" w:ascii="黑体" w:hAnsi="黑体" w:eastAsia="黑体"/>
                <w:color w:val="auto"/>
                <w:sz w:val="28"/>
                <w:szCs w:val="28"/>
                <w:lang w:val="en-US" w:eastAsia="zh-CN"/>
              </w:rPr>
            </w:pPr>
            <w:r>
              <w:rPr>
                <w:rFonts w:hint="eastAsia" w:ascii="黑体" w:hAnsi="黑体" w:eastAsia="黑体"/>
                <w:color w:val="auto"/>
                <w:sz w:val="28"/>
                <w:szCs w:val="28"/>
                <w:lang w:val="en-US" w:eastAsia="zh-CN"/>
              </w:rPr>
              <w:t>备注</w:t>
            </w:r>
          </w:p>
        </w:tc>
      </w:tr>
      <w:tr w14:paraId="49E3D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2362" w:type="dxa"/>
            <w:vAlign w:val="center"/>
          </w:tcPr>
          <w:p w14:paraId="52CDBEC9">
            <w:pPr>
              <w:pStyle w:val="50"/>
              <w:numPr>
                <w:ilvl w:val="0"/>
                <w:numId w:val="0"/>
              </w:numPr>
              <w:kinsoku/>
              <w:overflowPunct/>
              <w:topLinePunct w:val="0"/>
              <w:bidi w:val="0"/>
              <w:spacing w:line="360" w:lineRule="auto"/>
              <w:ind w:right="0" w:rightChars="0"/>
              <w:jc w:val="center"/>
              <w:rPr>
                <w:rFonts w:hint="eastAsia" w:ascii="宋体" w:hAnsi="宋体" w:eastAsia="宋体"/>
                <w:b/>
                <w:color w:val="auto"/>
                <w:sz w:val="24"/>
                <w:szCs w:val="24"/>
                <w:vertAlign w:val="baseline"/>
              </w:rPr>
            </w:pPr>
            <w:r>
              <w:rPr>
                <w:rFonts w:hint="eastAsia" w:ascii="黑体" w:hAnsi="黑体" w:eastAsia="黑体" w:cs="宋体"/>
                <w:color w:val="auto"/>
                <w:kern w:val="0"/>
                <w:sz w:val="28"/>
                <w:szCs w:val="28"/>
                <w:lang w:val="en-US" w:eastAsia="zh-CN"/>
              </w:rPr>
              <w:t>地下水调查溯源</w:t>
            </w:r>
          </w:p>
        </w:tc>
        <w:tc>
          <w:tcPr>
            <w:tcW w:w="4329" w:type="dxa"/>
          </w:tcPr>
          <w:p w14:paraId="6CB3342C">
            <w:pPr>
              <w:pStyle w:val="50"/>
              <w:numPr>
                <w:ilvl w:val="0"/>
                <w:numId w:val="0"/>
              </w:numPr>
              <w:kinsoku/>
              <w:overflowPunct/>
              <w:topLinePunct w:val="0"/>
              <w:bidi w:val="0"/>
              <w:spacing w:line="360" w:lineRule="auto"/>
              <w:ind w:right="0" w:rightChars="0"/>
              <w:jc w:val="both"/>
              <w:rPr>
                <w:rFonts w:hint="eastAsia" w:ascii="宋体" w:hAnsi="宋体" w:eastAsia="宋体"/>
                <w:b/>
                <w:color w:val="auto"/>
                <w:sz w:val="24"/>
                <w:szCs w:val="24"/>
                <w:vertAlign w:val="baseline"/>
              </w:rPr>
            </w:pPr>
            <w:r>
              <w:rPr>
                <w:rFonts w:hint="eastAsia" w:ascii="宋体" w:hAnsi="宋体" w:eastAsia="宋体"/>
                <w:b/>
                <w:color w:val="auto"/>
                <w:sz w:val="24"/>
                <w:szCs w:val="24"/>
                <w:vertAlign w:val="baseline"/>
              </w:rPr>
              <w:t>开展</w:t>
            </w:r>
            <w:r>
              <w:rPr>
                <w:rFonts w:hint="eastAsia" w:ascii="宋体" w:hAnsi="宋体" w:eastAsia="宋体"/>
                <w:b/>
                <w:color w:val="auto"/>
                <w:sz w:val="24"/>
                <w:szCs w:val="24"/>
                <w:vertAlign w:val="baseline"/>
                <w:lang w:val="en-US" w:eastAsia="zh-CN"/>
              </w:rPr>
              <w:t>什邡有色金属分公司</w:t>
            </w:r>
            <w:r>
              <w:rPr>
                <w:rFonts w:hint="eastAsia" w:ascii="宋体" w:hAnsi="宋体" w:eastAsia="宋体"/>
                <w:b/>
                <w:color w:val="auto"/>
                <w:sz w:val="24"/>
                <w:szCs w:val="24"/>
                <w:vertAlign w:val="baseline"/>
              </w:rPr>
              <w:t>场地内及紧邻区域地下水调查溯源，根据溯源情况编制整治方案，完成地下水调查评估工作。</w:t>
            </w:r>
          </w:p>
        </w:tc>
        <w:tc>
          <w:tcPr>
            <w:tcW w:w="2232" w:type="dxa"/>
            <w:vAlign w:val="center"/>
          </w:tcPr>
          <w:p w14:paraId="00111AA8">
            <w:pPr>
              <w:pStyle w:val="50"/>
              <w:numPr>
                <w:ilvl w:val="0"/>
                <w:numId w:val="0"/>
              </w:numPr>
              <w:kinsoku/>
              <w:overflowPunct/>
              <w:topLinePunct w:val="0"/>
              <w:bidi w:val="0"/>
              <w:spacing w:line="360" w:lineRule="auto"/>
              <w:ind w:right="0" w:rightChars="0"/>
              <w:jc w:val="center"/>
              <w:rPr>
                <w:rFonts w:hint="eastAsia" w:ascii="宋体" w:hAnsi="宋体" w:eastAsia="宋体"/>
                <w:b/>
                <w:color w:val="auto"/>
                <w:sz w:val="24"/>
                <w:szCs w:val="24"/>
                <w:vertAlign w:val="baseline"/>
              </w:rPr>
            </w:pPr>
          </w:p>
        </w:tc>
        <w:tc>
          <w:tcPr>
            <w:tcW w:w="1752" w:type="dxa"/>
            <w:vAlign w:val="center"/>
          </w:tcPr>
          <w:p w14:paraId="73F88558">
            <w:pPr>
              <w:pStyle w:val="50"/>
              <w:numPr>
                <w:ilvl w:val="0"/>
                <w:numId w:val="0"/>
              </w:numPr>
              <w:kinsoku/>
              <w:overflowPunct/>
              <w:topLinePunct w:val="0"/>
              <w:bidi w:val="0"/>
              <w:spacing w:line="360" w:lineRule="auto"/>
              <w:ind w:right="0" w:rightChars="0"/>
              <w:jc w:val="center"/>
              <w:rPr>
                <w:rFonts w:hint="eastAsia" w:ascii="宋体" w:hAnsi="宋体" w:eastAsia="宋体"/>
                <w:b/>
                <w:color w:val="auto"/>
                <w:sz w:val="24"/>
                <w:szCs w:val="24"/>
                <w:vertAlign w:val="baseline"/>
              </w:rPr>
            </w:pPr>
          </w:p>
        </w:tc>
        <w:tc>
          <w:tcPr>
            <w:tcW w:w="2508" w:type="dxa"/>
            <w:vAlign w:val="center"/>
          </w:tcPr>
          <w:p w14:paraId="4BE069F2">
            <w:pPr>
              <w:pStyle w:val="50"/>
              <w:numPr>
                <w:ilvl w:val="0"/>
                <w:numId w:val="0"/>
              </w:numPr>
              <w:kinsoku/>
              <w:overflowPunct/>
              <w:topLinePunct w:val="0"/>
              <w:bidi w:val="0"/>
              <w:spacing w:line="360" w:lineRule="auto"/>
              <w:ind w:right="0" w:rightChars="0"/>
              <w:jc w:val="center"/>
              <w:rPr>
                <w:rFonts w:hint="eastAsia" w:ascii="宋体" w:hAnsi="宋体" w:eastAsia="宋体"/>
                <w:b/>
                <w:color w:val="auto"/>
                <w:sz w:val="24"/>
                <w:szCs w:val="24"/>
                <w:vertAlign w:val="baseline"/>
              </w:rPr>
            </w:pPr>
            <w:r>
              <w:rPr>
                <w:rFonts w:hint="eastAsia" w:ascii="宋体" w:hAnsi="宋体" w:eastAsia="宋体"/>
                <w:b/>
                <w:color w:val="auto"/>
                <w:sz w:val="24"/>
                <w:szCs w:val="24"/>
                <w:vertAlign w:val="baseline"/>
                <w:lang w:val="en-US" w:eastAsia="zh-CN"/>
              </w:rPr>
              <w:t>内容详情请到现场或与技术联系</w:t>
            </w:r>
          </w:p>
        </w:tc>
      </w:tr>
    </w:tbl>
    <w:p w14:paraId="28437299">
      <w:pPr>
        <w:pStyle w:val="50"/>
        <w:numPr>
          <w:ilvl w:val="0"/>
          <w:numId w:val="0"/>
        </w:numPr>
        <w:kinsoku/>
        <w:overflowPunct/>
        <w:topLinePunct w:val="0"/>
        <w:bidi w:val="0"/>
        <w:spacing w:line="360" w:lineRule="auto"/>
        <w:ind w:leftChars="0" w:right="0" w:rightChars="0"/>
        <w:jc w:val="both"/>
        <w:rPr>
          <w:rFonts w:hint="eastAsia" w:ascii="宋体" w:hAnsi="宋体" w:eastAsia="宋体"/>
          <w:b/>
          <w:color w:val="auto"/>
        </w:rPr>
      </w:pPr>
    </w:p>
    <w:p w14:paraId="15414075">
      <w:pPr>
        <w:pStyle w:val="5"/>
        <w:kinsoku/>
        <w:overflowPunct/>
        <w:topLinePunct w:val="0"/>
        <w:bidi w:val="0"/>
        <w:spacing w:line="360" w:lineRule="auto"/>
        <w:ind w:left="0" w:leftChars="0" w:right="0" w:rightChars="0" w:firstLine="0" w:firstLineChars="0"/>
        <w:jc w:val="left"/>
        <w:rPr>
          <w:color w:val="auto"/>
          <w:kern w:val="0"/>
        </w:rPr>
      </w:pPr>
      <w:r>
        <w:rPr>
          <w:rFonts w:hint="eastAsia"/>
          <w:color w:val="auto"/>
          <w:sz w:val="20"/>
          <w:szCs w:val="20"/>
        </w:rPr>
        <w:t xml:space="preserve">          </w:t>
      </w:r>
      <w:r>
        <w:rPr>
          <w:rFonts w:hint="eastAsia"/>
          <w:color w:val="auto"/>
        </w:rPr>
        <w:t xml:space="preserve">                  </w:t>
      </w:r>
      <w:r>
        <w:rPr>
          <w:rFonts w:hint="eastAsia"/>
          <w:color w:val="auto"/>
          <w:lang w:val="en-US"/>
        </w:rPr>
        <w:t xml:space="preserve">                     </w:t>
      </w:r>
      <w:r>
        <w:rPr>
          <w:rFonts w:hint="eastAsia"/>
          <w:color w:val="auto"/>
        </w:rPr>
        <w:t xml:space="preserve">        </w:t>
      </w:r>
    </w:p>
    <w:p w14:paraId="6D5AF54D">
      <w:pPr>
        <w:tabs>
          <w:tab w:val="left" w:pos="6120"/>
          <w:tab w:val="left" w:pos="6510"/>
          <w:tab w:val="left" w:pos="12495"/>
        </w:tabs>
        <w:kinsoku/>
        <w:overflowPunct/>
        <w:topLinePunct w:val="0"/>
        <w:bidi w:val="0"/>
        <w:spacing w:line="360" w:lineRule="auto"/>
        <w:ind w:right="0" w:rightChars="0"/>
        <w:jc w:val="left"/>
        <w:rPr>
          <w:rFonts w:hint="eastAsia" w:ascii="宋体" w:hAnsi="宋体"/>
          <w:color w:val="auto"/>
          <w:szCs w:val="21"/>
        </w:rPr>
      </w:pPr>
      <w:r>
        <w:rPr>
          <w:rFonts w:hint="eastAsia" w:ascii="宋体" w:hAnsi="宋体"/>
          <w:color w:val="auto"/>
          <w:szCs w:val="21"/>
          <w:lang w:val="en-US" w:eastAsia="zh-CN"/>
        </w:rPr>
        <w:t>供应商</w:t>
      </w:r>
      <w:r>
        <w:rPr>
          <w:rFonts w:hint="eastAsia" w:ascii="宋体" w:hAnsi="宋体"/>
          <w:color w:val="auto"/>
          <w:szCs w:val="21"/>
        </w:rPr>
        <w:t xml:space="preserve">名称（加盖单位公章）：  </w:t>
      </w:r>
    </w:p>
    <w:p w14:paraId="49A0D654">
      <w:pPr>
        <w:tabs>
          <w:tab w:val="left" w:pos="6120"/>
          <w:tab w:val="left" w:pos="6510"/>
          <w:tab w:val="left" w:pos="12495"/>
        </w:tabs>
        <w:kinsoku/>
        <w:overflowPunct/>
        <w:topLinePunct w:val="0"/>
        <w:bidi w:val="0"/>
        <w:spacing w:line="360" w:lineRule="auto"/>
        <w:ind w:right="0" w:rightChars="0"/>
        <w:jc w:val="left"/>
        <w:rPr>
          <w:rFonts w:hint="eastAsia" w:ascii="宋体" w:hAnsi="宋体"/>
          <w:color w:val="auto"/>
          <w:szCs w:val="21"/>
        </w:rPr>
      </w:pPr>
    </w:p>
    <w:p w14:paraId="096D0375">
      <w:pPr>
        <w:tabs>
          <w:tab w:val="left" w:pos="6120"/>
          <w:tab w:val="left" w:pos="6510"/>
          <w:tab w:val="left" w:pos="12495"/>
        </w:tabs>
        <w:kinsoku/>
        <w:overflowPunct/>
        <w:topLinePunct w:val="0"/>
        <w:bidi w:val="0"/>
        <w:spacing w:line="360" w:lineRule="auto"/>
        <w:ind w:right="0" w:rightChars="0"/>
        <w:jc w:val="left"/>
        <w:rPr>
          <w:rFonts w:hint="default" w:ascii="宋体" w:hAnsi="宋体" w:eastAsiaTheme="minorEastAsia"/>
          <w:color w:val="auto"/>
          <w:szCs w:val="21"/>
          <w:lang w:val="en-US" w:eastAsia="zh-CN"/>
        </w:rPr>
      </w:pPr>
      <w:r>
        <w:rPr>
          <w:rFonts w:hint="eastAsia" w:ascii="宋体" w:hAnsi="宋体"/>
          <w:color w:val="auto"/>
          <w:szCs w:val="21"/>
          <w:lang w:val="en-US" w:eastAsia="zh-CN"/>
        </w:rPr>
        <w:t>联系人及电话：</w:t>
      </w:r>
    </w:p>
    <w:p w14:paraId="6CC58E74">
      <w:pPr>
        <w:tabs>
          <w:tab w:val="left" w:pos="6120"/>
          <w:tab w:val="left" w:pos="6510"/>
          <w:tab w:val="left" w:pos="12495"/>
        </w:tabs>
        <w:kinsoku/>
        <w:overflowPunct/>
        <w:topLinePunct w:val="0"/>
        <w:bidi w:val="0"/>
        <w:spacing w:line="360" w:lineRule="auto"/>
        <w:ind w:right="0" w:rightChars="0"/>
        <w:jc w:val="left"/>
        <w:rPr>
          <w:rFonts w:hint="eastAsia" w:ascii="宋体" w:hAnsi="宋体" w:eastAsiaTheme="minorEastAsia" w:cstheme="minorBidi"/>
          <w:color w:val="auto"/>
          <w:kern w:val="2"/>
          <w:sz w:val="21"/>
          <w:szCs w:val="21"/>
          <w:lang w:val="en-US" w:eastAsia="zh-CN" w:bidi="ar-SA"/>
        </w:rPr>
        <w:sectPr>
          <w:pgSz w:w="16838" w:h="11906" w:orient="landscape"/>
          <w:pgMar w:top="1191" w:right="1440" w:bottom="1191" w:left="1440" w:header="851" w:footer="992" w:gutter="0"/>
          <w:pgNumType w:start="0"/>
          <w:cols w:space="720" w:num="1"/>
          <w:titlePg/>
          <w:docGrid w:type="lines" w:linePitch="312" w:charSpace="0"/>
        </w:sectPr>
      </w:pPr>
      <w:r>
        <w:rPr>
          <w:rFonts w:hint="eastAsia" w:ascii="宋体" w:hAnsi="宋体"/>
          <w:color w:val="auto"/>
          <w:szCs w:val="21"/>
        </w:rPr>
        <w:t xml:space="preserve">                    </w:t>
      </w:r>
    </w:p>
    <w:p w14:paraId="0AD431EA">
      <w:pPr>
        <w:rPr>
          <w:rFonts w:hint="eastAsia" w:ascii="宋体" w:hAnsi="宋体" w:eastAsiaTheme="minorEastAsia" w:cstheme="minorBidi"/>
          <w:color w:val="auto"/>
          <w:kern w:val="2"/>
          <w:sz w:val="21"/>
          <w:szCs w:val="21"/>
          <w:lang w:val="en-US" w:eastAsia="zh-CN" w:bidi="ar-SA"/>
        </w:rPr>
      </w:pPr>
    </w:p>
    <w:p w14:paraId="303BD212">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付款方式：</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582E7211">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eastAsiaTheme="minorEastAsia" w:cstheme="minorBidi"/>
          <w:color w:val="auto"/>
          <w:kern w:val="2"/>
          <w:sz w:val="21"/>
          <w:szCs w:val="21"/>
          <w:lang w:val="en-US" w:eastAsia="zh-CN" w:bidi="ar-SA"/>
        </w:rPr>
        <w:t>服务</w:t>
      </w:r>
      <w:r>
        <w:rPr>
          <w:rFonts w:hint="eastAsia" w:ascii="宋体" w:hAnsi="宋体" w:eastAsiaTheme="minorEastAsia" w:cstheme="minorBidi"/>
          <w:color w:val="auto"/>
          <w:kern w:val="2"/>
          <w:sz w:val="21"/>
          <w:szCs w:val="21"/>
          <w:lang w:val="en-US" w:eastAsia="zh-CN" w:bidi="ar-SA"/>
        </w:rPr>
        <w:t xml:space="preserve">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11A5ACF6">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税率：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170BF42B">
      <w:pPr>
        <w:pStyle w:val="35"/>
        <w:spacing w:before="120" w:line="480" w:lineRule="exact"/>
        <w:rPr>
          <w:rFonts w:hint="eastAsia" w:ascii="宋体" w:hAnsi="宋体" w:eastAsiaTheme="minorEastAsia" w:cstheme="minorBidi"/>
          <w:color w:val="auto"/>
          <w:kern w:val="2"/>
          <w:sz w:val="21"/>
          <w:szCs w:val="21"/>
          <w:u w:val="single"/>
          <w:lang w:val="en-US" w:eastAsia="zh-CN" w:bidi="ar-SA"/>
        </w:rPr>
      </w:pPr>
      <w:r>
        <w:rPr>
          <w:rFonts w:hint="eastAsia" w:ascii="宋体" w:hAnsi="宋体" w:eastAsiaTheme="minorEastAsia" w:cstheme="minorBidi"/>
          <w:color w:val="auto"/>
          <w:kern w:val="2"/>
          <w:sz w:val="21"/>
          <w:szCs w:val="21"/>
          <w:lang w:val="en-US" w:eastAsia="zh-CN" w:bidi="ar-SA"/>
        </w:rPr>
        <w:t>备注：</w:t>
      </w:r>
      <w:r>
        <w:rPr>
          <w:rFonts w:hint="eastAsia" w:ascii="宋体" w:hAnsi="宋体" w:eastAsiaTheme="minorEastAsia" w:cstheme="minorBidi"/>
          <w:color w:val="auto"/>
          <w:kern w:val="2"/>
          <w:sz w:val="21"/>
          <w:szCs w:val="21"/>
          <w:u w:val="single"/>
          <w:lang w:val="en-US" w:eastAsia="zh-CN" w:bidi="ar-SA"/>
        </w:rPr>
        <w:t xml:space="preserve">                                                </w:t>
      </w:r>
    </w:p>
    <w:p w14:paraId="3E454479">
      <w:pPr>
        <w:pStyle w:val="35"/>
        <w:spacing w:before="120" w:line="480" w:lineRule="exact"/>
        <w:rPr>
          <w:rFonts w:hint="eastAsia"/>
          <w:color w:val="auto"/>
          <w:kern w:val="0"/>
        </w:rPr>
        <w:sectPr>
          <w:pgSz w:w="11906" w:h="16838"/>
          <w:pgMar w:top="1440" w:right="1191" w:bottom="1440" w:left="1191" w:header="851" w:footer="992" w:gutter="0"/>
          <w:pgNumType w:start="0"/>
          <w:cols w:space="720" w:num="1"/>
          <w:titlePg/>
          <w:docGrid w:type="lines" w:linePitch="312" w:charSpace="0"/>
        </w:sectPr>
      </w:pPr>
      <w:r>
        <w:rPr>
          <w:rFonts w:hint="eastAsia" w:ascii="宋体" w:hAnsi="宋体" w:eastAsiaTheme="minorEastAsia" w:cstheme="minorBidi"/>
          <w:color w:val="auto"/>
          <w:kern w:val="2"/>
          <w:sz w:val="21"/>
          <w:szCs w:val="21"/>
          <w:lang w:val="en-US" w:eastAsia="zh-CN" w:bidi="ar-SA"/>
        </w:rPr>
        <w:t>报价包含但不限于</w:t>
      </w:r>
      <w:r>
        <w:rPr>
          <w:rFonts w:hint="eastAsia" w:eastAsiaTheme="minorEastAsia" w:cstheme="minorBidi"/>
          <w:color w:val="auto"/>
          <w:kern w:val="2"/>
          <w:sz w:val="21"/>
          <w:szCs w:val="21"/>
          <w:lang w:val="en-US" w:eastAsia="zh-CN" w:bidi="ar-SA"/>
        </w:rPr>
        <w:t>材料</w:t>
      </w:r>
      <w:r>
        <w:rPr>
          <w:rFonts w:hint="eastAsia" w:ascii="宋体" w:hAnsi="宋体" w:eastAsiaTheme="minorEastAsia" w:cstheme="minorBidi"/>
          <w:color w:val="auto"/>
          <w:kern w:val="2"/>
          <w:sz w:val="21"/>
          <w:szCs w:val="21"/>
          <w:lang w:val="en-US" w:eastAsia="zh-CN" w:bidi="ar-SA"/>
        </w:rPr>
        <w:t>费、试验检验费、包装费、</w:t>
      </w:r>
      <w:r>
        <w:rPr>
          <w:rFonts w:hint="eastAsia" w:eastAsiaTheme="minorEastAsia" w:cstheme="minorBidi"/>
          <w:color w:val="auto"/>
          <w:kern w:val="2"/>
          <w:sz w:val="21"/>
          <w:szCs w:val="21"/>
          <w:lang w:val="en-US" w:eastAsia="zh-CN" w:bidi="ar-SA"/>
        </w:rPr>
        <w:t>材料</w:t>
      </w:r>
      <w:r>
        <w:rPr>
          <w:rFonts w:hint="eastAsia" w:ascii="宋体" w:hAnsi="宋体" w:eastAsiaTheme="minorEastAsia" w:cstheme="minorBidi"/>
          <w:color w:val="auto"/>
          <w:kern w:val="2"/>
          <w:sz w:val="21"/>
          <w:szCs w:val="21"/>
          <w:lang w:val="en-US" w:eastAsia="zh-CN" w:bidi="ar-SA"/>
        </w:rPr>
        <w:t>费、</w:t>
      </w:r>
      <w:r>
        <w:rPr>
          <w:rFonts w:hint="eastAsia" w:eastAsiaTheme="minorEastAsia" w:cstheme="minorBidi"/>
          <w:color w:val="auto"/>
          <w:kern w:val="2"/>
          <w:sz w:val="21"/>
          <w:szCs w:val="21"/>
          <w:lang w:val="en-US" w:eastAsia="zh-CN" w:bidi="ar-SA"/>
        </w:rPr>
        <w:t>勘查</w:t>
      </w:r>
      <w:r>
        <w:rPr>
          <w:rFonts w:hint="eastAsia" w:ascii="宋体" w:hAnsi="宋体" w:eastAsiaTheme="minorEastAsia" w:cstheme="minorBidi"/>
          <w:color w:val="auto"/>
          <w:kern w:val="2"/>
          <w:sz w:val="21"/>
          <w:szCs w:val="21"/>
          <w:lang w:val="en-US" w:eastAsia="zh-CN" w:bidi="ar-SA"/>
        </w:rPr>
        <w:t>费、保险费、设计费、税金等。</w:t>
      </w:r>
      <w:r>
        <w:rPr>
          <w:rFonts w:hint="eastAsia"/>
          <w:color w:val="auto"/>
        </w:rPr>
        <w:t xml:space="preserve">                                                   </w:t>
      </w:r>
    </w:p>
    <w:p w14:paraId="4AA23DCC">
      <w:pPr>
        <w:widowControl/>
        <w:kinsoku/>
        <w:overflowPunct/>
        <w:topLinePunct w:val="0"/>
        <w:bidi w:val="0"/>
        <w:spacing w:line="360" w:lineRule="auto"/>
        <w:ind w:left="0" w:leftChars="0" w:right="0" w:rightChars="0" w:firstLine="420" w:firstLineChars="200"/>
        <w:rPr>
          <w:rFonts w:hint="eastAsia"/>
          <w:color w:val="auto"/>
        </w:rPr>
      </w:pPr>
    </w:p>
    <w:p w14:paraId="61C0E6FA">
      <w:pPr>
        <w:kinsoku/>
        <w:overflowPunct/>
        <w:topLinePunct w:val="0"/>
        <w:bidi w:val="0"/>
        <w:spacing w:line="360" w:lineRule="auto"/>
        <w:ind w:left="0" w:leftChars="0" w:right="0" w:rightChars="0" w:firstLine="562" w:firstLineChars="200"/>
        <w:jc w:val="center"/>
        <w:rPr>
          <w:rFonts w:hint="eastAsia" w:ascii="宋体" w:hAnsi="宋体"/>
          <w:b/>
          <w:color w:val="auto"/>
          <w:sz w:val="28"/>
        </w:rPr>
      </w:pPr>
      <w:r>
        <w:rPr>
          <w:rFonts w:hint="eastAsia" w:ascii="宋体" w:hAnsi="宋体" w:cs="宋体"/>
          <w:b/>
          <w:bCs/>
          <w:color w:val="auto"/>
          <w:sz w:val="28"/>
          <w:szCs w:val="28"/>
          <w:lang w:val="en-US" w:eastAsia="zh-CN"/>
        </w:rPr>
        <w:t>四</w:t>
      </w:r>
      <w:r>
        <w:rPr>
          <w:rFonts w:hint="eastAsia" w:ascii="宋体" w:hAnsi="宋体" w:cs="宋体"/>
          <w:b/>
          <w:bCs/>
          <w:color w:val="auto"/>
          <w:sz w:val="28"/>
          <w:szCs w:val="28"/>
        </w:rPr>
        <w:t>、</w:t>
      </w:r>
      <w:r>
        <w:rPr>
          <w:rFonts w:hint="eastAsia" w:ascii="宋体" w:hAnsi="宋体"/>
          <w:b/>
          <w:color w:val="auto"/>
          <w:sz w:val="28"/>
        </w:rPr>
        <w:t>承 诺</w:t>
      </w:r>
    </w:p>
    <w:p w14:paraId="02A9A411">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3DDA4667">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服务</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484CA71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w:t>
      </w:r>
      <w:r>
        <w:rPr>
          <w:rFonts w:hint="eastAsia" w:ascii="宋体" w:hAnsi="宋体"/>
          <w:color w:val="auto"/>
          <w:lang w:val="en-US" w:eastAsia="zh-CN"/>
        </w:rPr>
        <w:t>服务</w:t>
      </w:r>
      <w:r>
        <w:rPr>
          <w:rFonts w:hint="eastAsia" w:ascii="宋体" w:hAnsi="宋体"/>
          <w:color w:val="auto"/>
        </w:rPr>
        <w:t>符合国家要求；</w:t>
      </w:r>
    </w:p>
    <w:p w14:paraId="3315052B">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0DD2A87D">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666D3D83">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60E8DAAA">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72C4A8EE">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一旦我方中标，愿意按照招标文件和招标人的规定和要求签订购销合同，并信守合同、保证质量、如期完成。</w:t>
      </w:r>
    </w:p>
    <w:p w14:paraId="73F280F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64F8309E">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445FEA49">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56DE0C5A">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5FF80B05">
      <w:pPr>
        <w:kinsoku/>
        <w:overflowPunct/>
        <w:topLinePunct w:val="0"/>
        <w:bidi w:val="0"/>
        <w:spacing w:line="360" w:lineRule="auto"/>
        <w:ind w:left="0" w:leftChars="0" w:right="0" w:rightChars="0" w:firstLine="4200" w:firstLineChars="2000"/>
        <w:rPr>
          <w:color w:val="auto"/>
          <w:lang w:val="en-US" w:eastAsia="zh-CN"/>
        </w:rPr>
        <w:sectPr>
          <w:pgSz w:w="11906" w:h="16838"/>
          <w:pgMar w:top="1361" w:right="1134" w:bottom="1361" w:left="1134" w:header="851" w:footer="992" w:gutter="0"/>
          <w:pgNumType w:fmt="decimal"/>
          <w:cols w:space="0" w:num="1"/>
          <w:rtlGutter w:val="0"/>
          <w:docGrid w:linePitch="312" w:charSpace="0"/>
        </w:sect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p>
    <w:p w14:paraId="2316C6D9">
      <w:pPr>
        <w:spacing w:line="360" w:lineRule="exact"/>
        <w:rPr>
          <w:rFonts w:hint="eastAsia" w:ascii="黑体" w:hAnsi="黑体" w:eastAsia="黑体" w:cs="宋体"/>
          <w:b/>
          <w:color w:val="auto"/>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0"/>
      </w:rPr>
      <w:instrText xml:space="preserve"> PAGE </w:instrText>
    </w:r>
    <w:r>
      <w:fldChar w:fldCharType="separate"/>
    </w:r>
    <w:r>
      <w:rPr>
        <w:rStyle w:val="20"/>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7BADD2CA">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4B883">
    <w:pPr>
      <w:pStyle w:val="9"/>
      <w:framePr w:wrap="around" w:vAnchor="text" w:hAnchor="margin" w:xAlign="center" w:y="1"/>
      <w:rPr>
        <w:rStyle w:val="20"/>
      </w:rPr>
    </w:pPr>
    <w:r>
      <w:fldChar w:fldCharType="begin"/>
    </w:r>
    <w:r>
      <w:rPr>
        <w:rStyle w:val="20"/>
      </w:rPr>
      <w:instrText xml:space="preserve">PAGE  </w:instrText>
    </w:r>
    <w:r>
      <w:fldChar w:fldCharType="end"/>
    </w:r>
  </w:p>
  <w:p w14:paraId="4F0F150C">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FFB4DD"/>
    <w:multiLevelType w:val="singleLevel"/>
    <w:tmpl w:val="3EFFB4DD"/>
    <w:lvl w:ilvl="0" w:tentative="0">
      <w:start w:val="5"/>
      <w:numFmt w:val="decimal"/>
      <w:lvlText w:val="%1."/>
      <w:lvlJc w:val="left"/>
      <w:pPr>
        <w:tabs>
          <w:tab w:val="left" w:pos="312"/>
        </w:tabs>
      </w:pPr>
    </w:lvl>
  </w:abstractNum>
  <w:abstractNum w:abstractNumId="1">
    <w:nsid w:val="45612F23"/>
    <w:multiLevelType w:val="singleLevel"/>
    <w:tmpl w:val="45612F23"/>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3200"/>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1DA2D91"/>
    <w:rsid w:val="038F62BE"/>
    <w:rsid w:val="03A80897"/>
    <w:rsid w:val="03BC1030"/>
    <w:rsid w:val="041E3808"/>
    <w:rsid w:val="043B2184"/>
    <w:rsid w:val="0475718F"/>
    <w:rsid w:val="0485137E"/>
    <w:rsid w:val="04C66C1A"/>
    <w:rsid w:val="04D1736D"/>
    <w:rsid w:val="05573D16"/>
    <w:rsid w:val="057443B4"/>
    <w:rsid w:val="05C017FD"/>
    <w:rsid w:val="0687687D"/>
    <w:rsid w:val="06F2489E"/>
    <w:rsid w:val="070268E6"/>
    <w:rsid w:val="07501427"/>
    <w:rsid w:val="076636BD"/>
    <w:rsid w:val="094A00EB"/>
    <w:rsid w:val="094D7C7A"/>
    <w:rsid w:val="097507C7"/>
    <w:rsid w:val="097D22E2"/>
    <w:rsid w:val="09AD2157"/>
    <w:rsid w:val="0A3C4D43"/>
    <w:rsid w:val="0B6C6FDB"/>
    <w:rsid w:val="0BBB617C"/>
    <w:rsid w:val="0C5F0F6E"/>
    <w:rsid w:val="0D004BE0"/>
    <w:rsid w:val="0D6635DC"/>
    <w:rsid w:val="0EC51CF1"/>
    <w:rsid w:val="0F286FEE"/>
    <w:rsid w:val="0F783207"/>
    <w:rsid w:val="0F797A29"/>
    <w:rsid w:val="0FBB34F5"/>
    <w:rsid w:val="0FFD54BA"/>
    <w:rsid w:val="10525110"/>
    <w:rsid w:val="10F838E5"/>
    <w:rsid w:val="110E7C3C"/>
    <w:rsid w:val="120F5BA7"/>
    <w:rsid w:val="121E5D7B"/>
    <w:rsid w:val="1235718D"/>
    <w:rsid w:val="128A3A09"/>
    <w:rsid w:val="12A6008B"/>
    <w:rsid w:val="12D009A7"/>
    <w:rsid w:val="13C54541"/>
    <w:rsid w:val="14676D7E"/>
    <w:rsid w:val="15916DD0"/>
    <w:rsid w:val="16413351"/>
    <w:rsid w:val="164E090F"/>
    <w:rsid w:val="16937390"/>
    <w:rsid w:val="172F5937"/>
    <w:rsid w:val="17660053"/>
    <w:rsid w:val="177C482D"/>
    <w:rsid w:val="190E59FE"/>
    <w:rsid w:val="19393A07"/>
    <w:rsid w:val="1A294B27"/>
    <w:rsid w:val="1A683441"/>
    <w:rsid w:val="1C4C57FF"/>
    <w:rsid w:val="1D64697C"/>
    <w:rsid w:val="1DD969AB"/>
    <w:rsid w:val="1ED14404"/>
    <w:rsid w:val="1EF74148"/>
    <w:rsid w:val="1FA15E62"/>
    <w:rsid w:val="1FDB7383"/>
    <w:rsid w:val="20A629C0"/>
    <w:rsid w:val="20A81398"/>
    <w:rsid w:val="21196F94"/>
    <w:rsid w:val="21263865"/>
    <w:rsid w:val="213571AA"/>
    <w:rsid w:val="217D645B"/>
    <w:rsid w:val="21843C8D"/>
    <w:rsid w:val="21F13065"/>
    <w:rsid w:val="22A07CA6"/>
    <w:rsid w:val="237F15B6"/>
    <w:rsid w:val="240E783E"/>
    <w:rsid w:val="246966F1"/>
    <w:rsid w:val="2470465E"/>
    <w:rsid w:val="24F6510A"/>
    <w:rsid w:val="24FA55ED"/>
    <w:rsid w:val="25CC5B88"/>
    <w:rsid w:val="26933E36"/>
    <w:rsid w:val="26BC19A6"/>
    <w:rsid w:val="279E3E6D"/>
    <w:rsid w:val="27A73E71"/>
    <w:rsid w:val="27B8643F"/>
    <w:rsid w:val="28564D7B"/>
    <w:rsid w:val="289607B9"/>
    <w:rsid w:val="28F11C08"/>
    <w:rsid w:val="290166AE"/>
    <w:rsid w:val="2A494963"/>
    <w:rsid w:val="2A5A72A6"/>
    <w:rsid w:val="2A7A0382"/>
    <w:rsid w:val="2AAB5DE7"/>
    <w:rsid w:val="2AC075D6"/>
    <w:rsid w:val="2C0635BA"/>
    <w:rsid w:val="2C612895"/>
    <w:rsid w:val="2C672453"/>
    <w:rsid w:val="2EC03E0B"/>
    <w:rsid w:val="2EE64169"/>
    <w:rsid w:val="300E355A"/>
    <w:rsid w:val="30337F16"/>
    <w:rsid w:val="30464A25"/>
    <w:rsid w:val="3082583C"/>
    <w:rsid w:val="31A45B7D"/>
    <w:rsid w:val="31A5035D"/>
    <w:rsid w:val="32C311AC"/>
    <w:rsid w:val="33980AB1"/>
    <w:rsid w:val="344A7D4E"/>
    <w:rsid w:val="347D19AD"/>
    <w:rsid w:val="34C32719"/>
    <w:rsid w:val="34E44129"/>
    <w:rsid w:val="34E65643"/>
    <w:rsid w:val="3539753D"/>
    <w:rsid w:val="35771A99"/>
    <w:rsid w:val="361436EF"/>
    <w:rsid w:val="363D49D0"/>
    <w:rsid w:val="36481456"/>
    <w:rsid w:val="371A057C"/>
    <w:rsid w:val="37296A11"/>
    <w:rsid w:val="388861A3"/>
    <w:rsid w:val="38DC340E"/>
    <w:rsid w:val="3A801D52"/>
    <w:rsid w:val="3ABF1B60"/>
    <w:rsid w:val="3B10121D"/>
    <w:rsid w:val="3BA23F27"/>
    <w:rsid w:val="3BB75F0B"/>
    <w:rsid w:val="3BF62074"/>
    <w:rsid w:val="3C904E0A"/>
    <w:rsid w:val="3D2D4ECB"/>
    <w:rsid w:val="3D8E7046"/>
    <w:rsid w:val="3DB1150E"/>
    <w:rsid w:val="3DD85B51"/>
    <w:rsid w:val="3E197344"/>
    <w:rsid w:val="3E583D12"/>
    <w:rsid w:val="3F213F33"/>
    <w:rsid w:val="3FE536F1"/>
    <w:rsid w:val="40083152"/>
    <w:rsid w:val="40085CD0"/>
    <w:rsid w:val="4041301D"/>
    <w:rsid w:val="42587944"/>
    <w:rsid w:val="42932E0A"/>
    <w:rsid w:val="43243278"/>
    <w:rsid w:val="435B56FC"/>
    <w:rsid w:val="43884ABF"/>
    <w:rsid w:val="44A00219"/>
    <w:rsid w:val="45367494"/>
    <w:rsid w:val="45877724"/>
    <w:rsid w:val="467A2DE5"/>
    <w:rsid w:val="470A03A4"/>
    <w:rsid w:val="47F46EAE"/>
    <w:rsid w:val="48724017"/>
    <w:rsid w:val="48750F6C"/>
    <w:rsid w:val="48790C33"/>
    <w:rsid w:val="487E1E23"/>
    <w:rsid w:val="492B4B3C"/>
    <w:rsid w:val="4A185620"/>
    <w:rsid w:val="4A6F4C2B"/>
    <w:rsid w:val="4B964C95"/>
    <w:rsid w:val="4BDF7931"/>
    <w:rsid w:val="4D477799"/>
    <w:rsid w:val="4DCF4AEB"/>
    <w:rsid w:val="4E0D1159"/>
    <w:rsid w:val="4E5A52AA"/>
    <w:rsid w:val="4EE10E98"/>
    <w:rsid w:val="4EE97C85"/>
    <w:rsid w:val="4F203C16"/>
    <w:rsid w:val="4F790702"/>
    <w:rsid w:val="4FE70DC0"/>
    <w:rsid w:val="502E581F"/>
    <w:rsid w:val="50CC06E1"/>
    <w:rsid w:val="50F46497"/>
    <w:rsid w:val="511A07C2"/>
    <w:rsid w:val="514328A4"/>
    <w:rsid w:val="51875472"/>
    <w:rsid w:val="51F577C4"/>
    <w:rsid w:val="52132524"/>
    <w:rsid w:val="52884ADC"/>
    <w:rsid w:val="52A80CDA"/>
    <w:rsid w:val="533212A1"/>
    <w:rsid w:val="53EE72C6"/>
    <w:rsid w:val="54887ACF"/>
    <w:rsid w:val="548B2661"/>
    <w:rsid w:val="54AA722A"/>
    <w:rsid w:val="55BE4F5F"/>
    <w:rsid w:val="55E22755"/>
    <w:rsid w:val="57193C9E"/>
    <w:rsid w:val="57541431"/>
    <w:rsid w:val="576C2775"/>
    <w:rsid w:val="586048F0"/>
    <w:rsid w:val="588549CE"/>
    <w:rsid w:val="58AE7DA1"/>
    <w:rsid w:val="58DD7D9A"/>
    <w:rsid w:val="59AD4E28"/>
    <w:rsid w:val="5B1D65E8"/>
    <w:rsid w:val="5C8C341B"/>
    <w:rsid w:val="5D2F2B1E"/>
    <w:rsid w:val="5DEF5A0F"/>
    <w:rsid w:val="5DF72B16"/>
    <w:rsid w:val="5ECA3D86"/>
    <w:rsid w:val="5F4D50E3"/>
    <w:rsid w:val="60303C60"/>
    <w:rsid w:val="61E15FB7"/>
    <w:rsid w:val="626B0ACC"/>
    <w:rsid w:val="626F728B"/>
    <w:rsid w:val="62A42563"/>
    <w:rsid w:val="63210307"/>
    <w:rsid w:val="633B16F7"/>
    <w:rsid w:val="63613BBD"/>
    <w:rsid w:val="64132ACB"/>
    <w:rsid w:val="644F1AB3"/>
    <w:rsid w:val="661512EF"/>
    <w:rsid w:val="66A77D57"/>
    <w:rsid w:val="66C75014"/>
    <w:rsid w:val="672B6AD9"/>
    <w:rsid w:val="67CD5013"/>
    <w:rsid w:val="68E42148"/>
    <w:rsid w:val="68F9171A"/>
    <w:rsid w:val="693A47A3"/>
    <w:rsid w:val="69B61D6F"/>
    <w:rsid w:val="69C1618A"/>
    <w:rsid w:val="6AB2229E"/>
    <w:rsid w:val="6AFB2A69"/>
    <w:rsid w:val="6B3E4F40"/>
    <w:rsid w:val="6B4C26F3"/>
    <w:rsid w:val="6B73407C"/>
    <w:rsid w:val="6C465631"/>
    <w:rsid w:val="6C6400AB"/>
    <w:rsid w:val="6C8B590C"/>
    <w:rsid w:val="6D343A27"/>
    <w:rsid w:val="6DCF182B"/>
    <w:rsid w:val="6E0D30CC"/>
    <w:rsid w:val="6F712728"/>
    <w:rsid w:val="6FF06CE8"/>
    <w:rsid w:val="71710FBA"/>
    <w:rsid w:val="72F9402A"/>
    <w:rsid w:val="733A4279"/>
    <w:rsid w:val="74125240"/>
    <w:rsid w:val="74D06143"/>
    <w:rsid w:val="75284014"/>
    <w:rsid w:val="75D4756D"/>
    <w:rsid w:val="75E36E5B"/>
    <w:rsid w:val="775744D2"/>
    <w:rsid w:val="77E24ED1"/>
    <w:rsid w:val="789E730E"/>
    <w:rsid w:val="79042BD4"/>
    <w:rsid w:val="7A450456"/>
    <w:rsid w:val="7AC516D6"/>
    <w:rsid w:val="7BBE5F26"/>
    <w:rsid w:val="7D902913"/>
    <w:rsid w:val="7DA00113"/>
    <w:rsid w:val="7E6B5FAF"/>
    <w:rsid w:val="7EC34622"/>
    <w:rsid w:val="7ED33846"/>
    <w:rsid w:val="7F3F0265"/>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0"/>
    <w:semiHidden/>
    <w:unhideWhenUsed/>
    <w:qFormat/>
    <w:uiPriority w:val="99"/>
    <w:rPr>
      <w:sz w:val="18"/>
      <w:szCs w:val="18"/>
    </w:rPr>
  </w:style>
  <w:style w:type="paragraph" w:styleId="9">
    <w:name w:val="footer"/>
    <w:basedOn w:val="1"/>
    <w:link w:val="39"/>
    <w:unhideWhenUsed/>
    <w:qFormat/>
    <w:uiPriority w:val="99"/>
    <w:pPr>
      <w:tabs>
        <w:tab w:val="center" w:pos="4153"/>
        <w:tab w:val="right" w:pos="8306"/>
      </w:tabs>
      <w:snapToGrid w:val="0"/>
      <w:jc w:val="left"/>
    </w:pPr>
    <w:rPr>
      <w:sz w:val="18"/>
      <w:szCs w:val="18"/>
    </w:rPr>
  </w:style>
  <w:style w:type="paragraph" w:styleId="10">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4">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5">
    <w:name w:val="Body Text First Indent 2"/>
    <w:basedOn w:val="6"/>
    <w:next w:val="14"/>
    <w:qFormat/>
    <w:uiPriority w:val="0"/>
    <w:pPr>
      <w:spacing w:line="360" w:lineRule="auto"/>
      <w:ind w:firstLine="420" w:firstLineChars="200"/>
    </w:pPr>
    <w:rPr>
      <w:sz w:val="24"/>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page number"/>
    <w:basedOn w:val="18"/>
    <w:qFormat/>
    <w:uiPriority w:val="0"/>
  </w:style>
  <w:style w:type="character" w:styleId="21">
    <w:name w:val="FollowedHyperlink"/>
    <w:basedOn w:val="18"/>
    <w:semiHidden/>
    <w:unhideWhenUsed/>
    <w:qFormat/>
    <w:uiPriority w:val="99"/>
    <w:rPr>
      <w:color w:val="5C5C5C"/>
      <w:u w:val="none"/>
    </w:rPr>
  </w:style>
  <w:style w:type="character" w:styleId="22">
    <w:name w:val="Emphasis"/>
    <w:basedOn w:val="18"/>
    <w:qFormat/>
    <w:uiPriority w:val="20"/>
    <w:rPr>
      <w:b/>
      <w:bCs/>
    </w:rPr>
  </w:style>
  <w:style w:type="character" w:styleId="23">
    <w:name w:val="HTML Definition"/>
    <w:basedOn w:val="18"/>
    <w:semiHidden/>
    <w:unhideWhenUsed/>
    <w:qFormat/>
    <w:uiPriority w:val="99"/>
  </w:style>
  <w:style w:type="character" w:styleId="24">
    <w:name w:val="HTML Typewriter"/>
    <w:basedOn w:val="18"/>
    <w:semiHidden/>
    <w:unhideWhenUsed/>
    <w:qFormat/>
    <w:uiPriority w:val="99"/>
    <w:rPr>
      <w:rFonts w:hint="default" w:ascii="monospace" w:hAnsi="monospace" w:eastAsia="monospace" w:cs="monospace"/>
      <w:sz w:val="20"/>
    </w:rPr>
  </w:style>
  <w:style w:type="character" w:styleId="25">
    <w:name w:val="HTML Acronym"/>
    <w:basedOn w:val="18"/>
    <w:semiHidden/>
    <w:unhideWhenUsed/>
    <w:qFormat/>
    <w:uiPriority w:val="99"/>
  </w:style>
  <w:style w:type="character" w:styleId="26">
    <w:name w:val="HTML Variable"/>
    <w:basedOn w:val="18"/>
    <w:semiHidden/>
    <w:unhideWhenUsed/>
    <w:qFormat/>
    <w:uiPriority w:val="99"/>
  </w:style>
  <w:style w:type="character" w:styleId="27">
    <w:name w:val="Hyperlink"/>
    <w:basedOn w:val="18"/>
    <w:semiHidden/>
    <w:unhideWhenUsed/>
    <w:qFormat/>
    <w:uiPriority w:val="99"/>
    <w:rPr>
      <w:color w:val="0000FF"/>
      <w:u w:val="single"/>
    </w:rPr>
  </w:style>
  <w:style w:type="character" w:styleId="28">
    <w:name w:val="HTML Code"/>
    <w:basedOn w:val="18"/>
    <w:semiHidden/>
    <w:unhideWhenUsed/>
    <w:qFormat/>
    <w:uiPriority w:val="99"/>
    <w:rPr>
      <w:rFonts w:hint="default" w:ascii="monospace" w:hAnsi="monospace" w:eastAsia="monospace" w:cs="monospace"/>
      <w:sz w:val="20"/>
    </w:rPr>
  </w:style>
  <w:style w:type="character" w:styleId="29">
    <w:name w:val="annotation reference"/>
    <w:basedOn w:val="18"/>
    <w:semiHidden/>
    <w:unhideWhenUsed/>
    <w:qFormat/>
    <w:uiPriority w:val="99"/>
    <w:rPr>
      <w:sz w:val="21"/>
      <w:szCs w:val="21"/>
    </w:rPr>
  </w:style>
  <w:style w:type="character" w:styleId="30">
    <w:name w:val="HTML Cite"/>
    <w:basedOn w:val="18"/>
    <w:semiHidden/>
    <w:unhideWhenUsed/>
    <w:qFormat/>
    <w:uiPriority w:val="99"/>
    <w:rPr>
      <w:vanish/>
      <w:color w:val="FFFFFF"/>
      <w:sz w:val="18"/>
      <w:szCs w:val="18"/>
      <w:shd w:val="clear" w:color="auto" w:fill="7CBCF3"/>
    </w:rPr>
  </w:style>
  <w:style w:type="character" w:styleId="31">
    <w:name w:val="HTML Keyboard"/>
    <w:basedOn w:val="18"/>
    <w:semiHidden/>
    <w:unhideWhenUsed/>
    <w:qFormat/>
    <w:uiPriority w:val="99"/>
    <w:rPr>
      <w:rFonts w:ascii="monospace" w:hAnsi="monospace" w:eastAsia="monospace" w:cs="monospace"/>
      <w:sz w:val="16"/>
      <w:szCs w:val="16"/>
    </w:rPr>
  </w:style>
  <w:style w:type="character" w:styleId="32">
    <w:name w:val="HTML Sample"/>
    <w:basedOn w:val="18"/>
    <w:semiHidden/>
    <w:unhideWhenUsed/>
    <w:qFormat/>
    <w:uiPriority w:val="99"/>
    <w:rPr>
      <w:rFonts w:hint="default" w:ascii="monospace" w:hAnsi="monospace" w:eastAsia="monospace" w:cs="monospace"/>
    </w:rPr>
  </w:style>
  <w:style w:type="paragraph" w:customStyle="1" w:styleId="33">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4">
    <w:name w:val="样式 小四 行距: 1.5 倍行距"/>
    <w:basedOn w:val="1"/>
    <w:qFormat/>
    <w:uiPriority w:val="0"/>
    <w:pPr>
      <w:ind w:firstLine="480" w:firstLineChars="200"/>
    </w:pPr>
    <w:rPr>
      <w:rFonts w:cs="宋体"/>
    </w:rPr>
  </w:style>
  <w:style w:type="paragraph" w:customStyle="1" w:styleId="35">
    <w:name w:val="p0"/>
    <w:basedOn w:val="1"/>
    <w:qFormat/>
    <w:uiPriority w:val="0"/>
    <w:pPr>
      <w:widowControl/>
      <w:snapToGrid w:val="0"/>
      <w:jc w:val="left"/>
    </w:pPr>
    <w:rPr>
      <w:rFonts w:ascii="宋体" w:hAnsi="宋体" w:eastAsia="宋体" w:cs="宋体"/>
      <w:kern w:val="0"/>
      <w:sz w:val="24"/>
      <w:szCs w:val="24"/>
    </w:rPr>
  </w:style>
  <w:style w:type="table" w:customStyle="1" w:styleId="3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7">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8">
    <w:name w:val="页眉 Char"/>
    <w:basedOn w:val="18"/>
    <w:link w:val="10"/>
    <w:qFormat/>
    <w:uiPriority w:val="99"/>
    <w:rPr>
      <w:rFonts w:asciiTheme="minorHAnsi" w:hAnsiTheme="minorHAnsi" w:eastAsiaTheme="minorEastAsia" w:cstheme="minorBidi"/>
      <w:kern w:val="2"/>
      <w:sz w:val="18"/>
      <w:szCs w:val="18"/>
    </w:rPr>
  </w:style>
  <w:style w:type="character" w:customStyle="1" w:styleId="39">
    <w:name w:val="页脚 Char"/>
    <w:basedOn w:val="18"/>
    <w:link w:val="9"/>
    <w:qFormat/>
    <w:uiPriority w:val="99"/>
    <w:rPr>
      <w:rFonts w:asciiTheme="minorHAnsi" w:hAnsiTheme="minorHAnsi" w:eastAsiaTheme="minorEastAsia" w:cstheme="minorBidi"/>
      <w:kern w:val="2"/>
      <w:sz w:val="18"/>
      <w:szCs w:val="18"/>
    </w:rPr>
  </w:style>
  <w:style w:type="character" w:customStyle="1" w:styleId="40">
    <w:name w:val="批注框文本 Char"/>
    <w:basedOn w:val="18"/>
    <w:link w:val="8"/>
    <w:semiHidden/>
    <w:qFormat/>
    <w:uiPriority w:val="99"/>
    <w:rPr>
      <w:rFonts w:asciiTheme="minorHAnsi" w:hAnsiTheme="minorHAnsi" w:eastAsiaTheme="minorEastAsia" w:cstheme="minorBidi"/>
      <w:kern w:val="2"/>
      <w:sz w:val="18"/>
      <w:szCs w:val="18"/>
    </w:rPr>
  </w:style>
  <w:style w:type="character" w:customStyle="1" w:styleId="41">
    <w:name w:val="hover"/>
    <w:basedOn w:val="18"/>
    <w:qFormat/>
    <w:uiPriority w:val="0"/>
    <w:rPr>
      <w:shd w:val="clear" w:color="auto" w:fill="E9F4FD"/>
    </w:rPr>
  </w:style>
  <w:style w:type="character" w:customStyle="1" w:styleId="42">
    <w:name w:val="hover1"/>
    <w:basedOn w:val="18"/>
    <w:qFormat/>
    <w:uiPriority w:val="0"/>
    <w:rPr>
      <w:color w:val="2590EB"/>
    </w:rPr>
  </w:style>
  <w:style w:type="character" w:customStyle="1" w:styleId="43">
    <w:name w:val="hover2"/>
    <w:basedOn w:val="18"/>
    <w:qFormat/>
    <w:uiPriority w:val="0"/>
    <w:rPr>
      <w:color w:val="2590EB"/>
      <w:shd w:val="clear" w:color="auto" w:fill="E9F4FD"/>
    </w:rPr>
  </w:style>
  <w:style w:type="character" w:customStyle="1" w:styleId="44">
    <w:name w:val="hover3"/>
    <w:basedOn w:val="18"/>
    <w:qFormat/>
    <w:uiPriority w:val="0"/>
    <w:rPr>
      <w:color w:val="2590EB"/>
    </w:rPr>
  </w:style>
  <w:style w:type="character" w:customStyle="1" w:styleId="45">
    <w:name w:val="laydate-disabled"/>
    <w:basedOn w:val="18"/>
    <w:qFormat/>
    <w:uiPriority w:val="0"/>
    <w:rPr>
      <w:color w:val="2590EB"/>
    </w:rPr>
  </w:style>
  <w:style w:type="character" w:customStyle="1" w:styleId="46">
    <w:name w:val="status"/>
    <w:basedOn w:val="18"/>
    <w:qFormat/>
    <w:uiPriority w:val="0"/>
    <w:rPr>
      <w:color w:val="0776DD"/>
    </w:rPr>
  </w:style>
  <w:style w:type="character" w:customStyle="1" w:styleId="47">
    <w:name w:val="time"/>
    <w:basedOn w:val="18"/>
    <w:qFormat/>
    <w:uiPriority w:val="0"/>
  </w:style>
  <w:style w:type="paragraph" w:styleId="48">
    <w:name w:val="List Paragraph"/>
    <w:basedOn w:val="1"/>
    <w:qFormat/>
    <w:uiPriority w:val="34"/>
    <w:pPr>
      <w:ind w:firstLine="420" w:firstLineChars="200"/>
    </w:pPr>
    <w:rPr>
      <w:rFonts w:cs="Times New Roman"/>
    </w:rPr>
  </w:style>
  <w:style w:type="paragraph" w:customStyle="1" w:styleId="49">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0">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1">
    <w:name w:val="列表段落1"/>
    <w:basedOn w:val="1"/>
    <w:qFormat/>
    <w:uiPriority w:val="34"/>
    <w:pPr>
      <w:widowControl/>
      <w:ind w:firstLine="420" w:firstLineChars="200"/>
      <w:jc w:val="left"/>
    </w:pPr>
    <w:rPr>
      <w:rFonts w:ascii="宋体" w:hAnsi="宋体" w:cs="宋体"/>
      <w:kern w:val="0"/>
      <w:sz w:val="24"/>
      <w:szCs w:val="24"/>
    </w:rPr>
  </w:style>
  <w:style w:type="paragraph" w:customStyle="1" w:styleId="52">
    <w:name w:val="p18"/>
    <w:basedOn w:val="1"/>
    <w:qFormat/>
    <w:uiPriority w:val="0"/>
    <w:pPr>
      <w:widowControl/>
      <w:spacing w:line="400" w:lineRule="atLeast"/>
      <w:jc w:val="center"/>
    </w:pPr>
    <w:rPr>
      <w:rFonts w:ascii="Arial" w:hAnsi="Arial" w:cs="Arial"/>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1342</Words>
  <Characters>1463</Characters>
  <Lines>16</Lines>
  <Paragraphs>4</Paragraphs>
  <TotalTime>123</TotalTime>
  <ScaleCrop>false</ScaleCrop>
  <LinksUpToDate>false</LinksUpToDate>
  <CharactersWithSpaces>2068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程康</cp:lastModifiedBy>
  <dcterms:modified xsi:type="dcterms:W3CDTF">2025-07-31T06:35:49Z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eyJoZGlkIjoiMzEwNTM5NzYwMDRjMzkwZTVkZjY2ODkwMGIxNGU0OTUiLCJ1c2VySWQiOiIzNzU4NzkwNDkifQ==</vt:lpwstr>
  </property>
  <property fmtid="{D5CDD505-2E9C-101B-9397-08002B2CF9AE}" pid="3" name="KSOProductBuildVer">
    <vt:lpwstr>2052-12.1.0.21915</vt:lpwstr>
  </property>
  <property fmtid="{D5CDD505-2E9C-101B-9397-08002B2CF9AE}" pid="4" name="ICV">
    <vt:lpwstr>638278A91B6247A3A14F33886A0DB3EB_13</vt:lpwstr>
  </property>
</Properties>
</file>