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B99FD4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控制阀采购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编号：SFLHG-GKBX-2025-HW27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278F3FA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控制阀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编号：SFLHG-GKBX-2025-HW27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什邡磷化工分公司因生产技改需要，需采购控制阀1批，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362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控制阀</w:t>
      </w:r>
    </w:p>
    <w:p w14:paraId="31B27A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689"/>
        <w:gridCol w:w="1667"/>
        <w:gridCol w:w="1167"/>
        <w:gridCol w:w="2589"/>
      </w:tblGrid>
      <w:tr w14:paraId="6BDD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top"/>
          </w:tcPr>
          <w:p w14:paraId="134B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0F1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6CA0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电动套筒单座调节阀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724A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DN125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/PN25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2BA9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脱盐水装置蒸汽加热</w:t>
            </w:r>
          </w:p>
        </w:tc>
      </w:tr>
      <w:tr w14:paraId="48F6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4725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0D47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电动开关偏心蝶阀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269F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DN300/PN16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71922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5CB2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消防水泵技改</w:t>
            </w:r>
          </w:p>
        </w:tc>
      </w:tr>
      <w:tr w14:paraId="739A7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7ACF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7C14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电动开关偏心蝶阀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52C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DN500/PN16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069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758E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消防水泵技改</w:t>
            </w:r>
          </w:p>
        </w:tc>
      </w:tr>
      <w:tr w14:paraId="06DAA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BAF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2BBE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电动单座调节阀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627F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DN125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/PN25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75F1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3AF2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颗粒磷铵热风炉技改</w:t>
            </w:r>
          </w:p>
        </w:tc>
      </w:tr>
      <w:tr w14:paraId="7538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2247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14E6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电动调节截止阀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7E81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DN200/PN64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7664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4B948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余热发电</w:t>
            </w:r>
          </w:p>
        </w:tc>
      </w:tr>
      <w:tr w14:paraId="74184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right w:val="single" w:color="auto" w:sz="4" w:space="0"/>
            </w:tcBorders>
            <w:noWrap w:val="0"/>
            <w:vAlign w:val="center"/>
          </w:tcPr>
          <w:p w14:paraId="6349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9" w:type="dxa"/>
            <w:tcBorders>
              <w:left w:val="single" w:color="auto" w:sz="4" w:space="0"/>
            </w:tcBorders>
            <w:noWrap w:val="0"/>
            <w:vAlign w:val="center"/>
          </w:tcPr>
          <w:p w14:paraId="1521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电动调节V型球阀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647B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DN200/PN16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noWrap w:val="0"/>
            <w:vAlign w:val="center"/>
          </w:tcPr>
          <w:p w14:paraId="17C74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89" w:type="dxa"/>
            <w:tcBorders>
              <w:right w:val="single" w:color="auto" w:sz="4" w:space="0"/>
            </w:tcBorders>
            <w:noWrap w:val="0"/>
            <w:vAlign w:val="center"/>
          </w:tcPr>
          <w:p w14:paraId="6DA87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宋体"/>
                <w:color w:val="auto"/>
                <w:kern w:val="0"/>
                <w:sz w:val="24"/>
                <w:szCs w:val="24"/>
                <w:lang w:val="en-US" w:eastAsia="zh-CN"/>
              </w:rPr>
              <w:t>余热发电</w:t>
            </w:r>
          </w:p>
        </w:tc>
      </w:tr>
    </w:tbl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8C3E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合同生效之日起10个工作日内，买方向中选人预付合同总额30%，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28"/>
          <w:szCs w:val="28"/>
        </w:rPr>
        <w:t>0%；余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控制阀</w:t>
      </w:r>
      <w:r>
        <w:rPr>
          <w:rFonts w:hint="eastAsia" w:ascii="黑体" w:hAnsi="黑体" w:eastAsia="黑体" w:cs="宋体"/>
          <w:kern w:val="0"/>
          <w:sz w:val="28"/>
          <w:szCs w:val="28"/>
        </w:rPr>
        <w:t>规格型号、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执行机构型号、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B9B4107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②通电运行检测。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2025年7月29日17时 00 分至 2025年8 月 5日 17时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 5日17</w:t>
      </w:r>
      <w:bookmarkStart w:id="4" w:name="_GoBack"/>
      <w:bookmarkEnd w:id="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 xml:space="preserve">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54A5BFD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①比选申请人需提供营业执照（三证合一）。</w:t>
      </w:r>
    </w:p>
    <w:p w14:paraId="6FD1B94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②比选申请人需提供控制阀型式试验报告。</w:t>
      </w:r>
    </w:p>
    <w:p w14:paraId="223CBE25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4D244DAF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报价函件。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3A94AC3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⑤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技术规格书。比选申请人根据控制阀数据表要求，提供技术规格书，注明控制阀规格型号、阀体阀芯阀座材质、执行机构规格型号及力矩大小、泄漏等级等相关参数。</w:t>
      </w:r>
    </w:p>
    <w:p w14:paraId="66DBDF8F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instrText xml:space="preserve"> = 6 \* GB3 \* MERGEFORMAT </w:instrTex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⑥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传</w:t>
      </w:r>
      <w:r>
        <w:rPr>
          <w:rFonts w:hint="eastAsia" w:ascii="黑体" w:hAnsi="黑体" w:eastAsia="黑体" w:cs="宋体"/>
          <w:kern w:val="0"/>
          <w:sz w:val="28"/>
          <w:szCs w:val="28"/>
        </w:rPr>
        <w:t>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响应</w:t>
      </w:r>
      <w:r>
        <w:rPr>
          <w:rFonts w:hint="eastAsia" w:ascii="黑体" w:hAnsi="黑体" w:eastAsia="黑体" w:cs="宋体"/>
          <w:kern w:val="0"/>
          <w:sz w:val="28"/>
          <w:szCs w:val="28"/>
        </w:rPr>
        <w:t>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5"/>
        <w:ind w:left="0" w:leftChars="0" w:firstLine="0" w:firstLineChars="0"/>
      </w:pPr>
    </w:p>
    <w:p w14:paraId="736C82D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0F9C5B1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0F76CC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8AFE5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B2DF38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2"/>
        </w:num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控制阀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0302F8B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9978"/>
      <w:bookmarkStart w:id="1" w:name="_Toc4384"/>
      <w:bookmarkStart w:id="2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</w:t>
      </w:r>
    </w:p>
    <w:p w14:paraId="5A26A25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（二）型式试验报告</w:t>
      </w:r>
    </w:p>
    <w:bookmarkEnd w:id="0"/>
    <w:bookmarkEnd w:id="1"/>
    <w:bookmarkEnd w:id="2"/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29F33F4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D29F3A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8DB0473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1A24C0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99EE737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612B39D">
      <w:pPr>
        <w:kinsoku/>
        <w:overflowPunct/>
        <w:topLinePunct w:val="0"/>
        <w:bidi w:val="0"/>
        <w:ind w:right="0" w:rightChars="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8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</w:t>
      </w:r>
    </w:p>
    <w:p w14:paraId="467E6BBE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7DD9B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3CB279F3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34336B0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2ECB5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3448D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53D2C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36050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1178F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DFBD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17816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7F70A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34ACED9A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3086F2A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报价表</w:t>
      </w:r>
      <w:r>
        <w:rPr>
          <w:rFonts w:hint="eastAsia" w:ascii="宋体" w:hAnsi="宋体" w:eastAsia="宋体"/>
          <w:b/>
          <w:color w:val="auto"/>
          <w:lang w:val="en-US" w:eastAsia="zh-CN"/>
        </w:rPr>
        <w:t>详细目录</w:t>
      </w:r>
    </w:p>
    <w:p w14:paraId="3F6B410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52FE20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F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投标报价（现汇付款税率13%）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F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81A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17B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66D9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30D1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F84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589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B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F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4F52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01E0C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8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7258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49A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D4FF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F7C4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1B3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D79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4ABB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F6069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C90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A8B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CCEE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9E5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B33E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6F0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F923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F784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55F7C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F88254E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DFDCE20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A61F3E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EC3A29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0197799B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E45D43B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6E543D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4EBDF0F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4755A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3363F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AB435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0566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89D6AC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9B3342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DD1B41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5E49BD2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9DDF6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9112E6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12CB7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ABD518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CFB6DA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2E9965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7976FAA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B6ED2D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93B4BA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34CEA8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C1D5BF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default" w:ascii="宋体" w:hAnsi="宋体" w:eastAsiaTheme="minorEastAsia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技术规格书</w:t>
      </w:r>
    </w:p>
    <w:p w14:paraId="51E2364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9B396E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4F3E23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68158F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763323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4402D8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0F40D8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5E0E2607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22633C5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09CF8F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44A4C6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15B843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F756D06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7E55A50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290E53F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345F521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0E0EE75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7FAC16E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1A21DD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4997B60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5F7FAD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</w:p>
    <w:p w14:paraId="6A44F18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4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3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3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0BC3CC3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BDD4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CAC75A5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89A5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0C014F1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C3976"/>
    <w:multiLevelType w:val="singleLevel"/>
    <w:tmpl w:val="CF8C397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E5EFA6F"/>
    <w:multiLevelType w:val="singleLevel"/>
    <w:tmpl w:val="DE5EFA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0E63C2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E66490"/>
    <w:rsid w:val="094A00EB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BF5D63"/>
    <w:rsid w:val="13C54541"/>
    <w:rsid w:val="14592936"/>
    <w:rsid w:val="14676D7E"/>
    <w:rsid w:val="15916DD0"/>
    <w:rsid w:val="16413351"/>
    <w:rsid w:val="164E090F"/>
    <w:rsid w:val="16937390"/>
    <w:rsid w:val="16F83C6D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6D7141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494CF1"/>
    <w:rsid w:val="2EC03E0B"/>
    <w:rsid w:val="2EE64169"/>
    <w:rsid w:val="300E355A"/>
    <w:rsid w:val="30337F16"/>
    <w:rsid w:val="30464A25"/>
    <w:rsid w:val="3082583C"/>
    <w:rsid w:val="30AA38EA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1F0F0B"/>
    <w:rsid w:val="47F46EAE"/>
    <w:rsid w:val="48724017"/>
    <w:rsid w:val="48750F6C"/>
    <w:rsid w:val="492B4B3C"/>
    <w:rsid w:val="4A185620"/>
    <w:rsid w:val="4A6F4C2B"/>
    <w:rsid w:val="4A8B5684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B75F23"/>
    <w:rsid w:val="5ECA3D86"/>
    <w:rsid w:val="5F4D50E3"/>
    <w:rsid w:val="60303C60"/>
    <w:rsid w:val="61E15FB7"/>
    <w:rsid w:val="622C60C9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8FF4D7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7D601E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4028</Words>
  <Characters>4309</Characters>
  <Lines>16</Lines>
  <Paragraphs>4</Paragraphs>
  <TotalTime>28</TotalTime>
  <ScaleCrop>false</ScaleCrop>
  <LinksUpToDate>false</LinksUpToDate>
  <CharactersWithSpaces>5208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2025-07-29T06:13:06Z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