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3F1F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137FC07B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528FC022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</w:p>
    <w:p w14:paraId="33D068A5">
      <w:pPr>
        <w:widowControl/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48"/>
          <w:szCs w:val="48"/>
        </w:rPr>
        <w:t>废触媒（五氧化二钒）</w:t>
      </w:r>
      <w:r>
        <w:rPr>
          <w:rFonts w:hint="eastAsia" w:ascii="黑体" w:hAnsi="黑体" w:eastAsia="黑体" w:cs="宋体"/>
          <w:b/>
          <w:bCs/>
          <w:kern w:val="0"/>
          <w:sz w:val="48"/>
          <w:szCs w:val="48"/>
          <w:lang w:val="en-US" w:eastAsia="zh-CN"/>
        </w:rPr>
        <w:t>无害化综合利用</w:t>
      </w:r>
      <w:r>
        <w:rPr>
          <w:rFonts w:hint="eastAsia" w:ascii="黑体" w:hAnsi="黑体" w:eastAsia="黑体" w:cs="宋体"/>
          <w:b/>
          <w:bCs/>
          <w:kern w:val="0"/>
          <w:sz w:val="48"/>
          <w:szCs w:val="48"/>
        </w:rPr>
        <w:t>处置</w:t>
      </w: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spacing w:line="360" w:lineRule="auto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07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报废触媒（五氧化二钒）</w:t>
      </w:r>
      <w:r>
        <w:rPr>
          <w:rFonts w:hint="eastAsia" w:asciiTheme="minorEastAsia" w:hAnsiTheme="minorEastAsia" w:cstheme="minorEastAsia"/>
          <w:b/>
          <w:color w:val="auto"/>
          <w:kern w:val="0"/>
          <w:sz w:val="32"/>
          <w:szCs w:val="32"/>
          <w:lang w:val="en-US" w:eastAsia="zh-CN"/>
        </w:rPr>
        <w:t>无害化综合利用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处置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</w:rPr>
        <w:t>比选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/>
        </w:rPr>
        <w:t xml:space="preserve">                     编号：SFLHG-GKBX-2025-HW13</w:t>
      </w:r>
    </w:p>
    <w:p w14:paraId="23CFBEF3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四川宏达股份有限公司拟对因硫酸生产而产生的废触媒（五氧化二钒）进行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无害化综合利用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处置，本着“公开、公平、公正”的原则，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欢迎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具有危险废物处置资质的单位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前来报价，现将相关事项公告如下：</w:t>
      </w:r>
    </w:p>
    <w:p w14:paraId="3C4DF528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标的物：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废触媒（五氧化二钒）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处置  约50吨（以实际过磅重量为准）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三、具体内容及要求：</w:t>
      </w:r>
    </w:p>
    <w:p w14:paraId="78BA9BE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标的物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信息：</w:t>
      </w:r>
    </w:p>
    <w:tbl>
      <w:tblPr>
        <w:tblStyle w:val="17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44"/>
        <w:gridCol w:w="702"/>
        <w:gridCol w:w="1895"/>
        <w:gridCol w:w="1760"/>
        <w:gridCol w:w="1760"/>
      </w:tblGrid>
      <w:tr w14:paraId="7B106E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vAlign w:val="center"/>
          </w:tcPr>
          <w:p w14:paraId="4D681983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544" w:type="dxa"/>
            <w:vAlign w:val="center"/>
          </w:tcPr>
          <w:p w14:paraId="3A33F8E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危废代码</w:t>
            </w:r>
          </w:p>
        </w:tc>
        <w:tc>
          <w:tcPr>
            <w:tcW w:w="702" w:type="dxa"/>
            <w:vAlign w:val="center"/>
          </w:tcPr>
          <w:p w14:paraId="03A52FF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计量</w:t>
            </w:r>
          </w:p>
          <w:p w14:paraId="0FD67D2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895" w:type="dxa"/>
            <w:vAlign w:val="center"/>
          </w:tcPr>
          <w:p w14:paraId="32BC700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60" w:type="dxa"/>
            <w:vAlign w:val="center"/>
          </w:tcPr>
          <w:p w14:paraId="60EFF4A2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交货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760" w:type="dxa"/>
            <w:vAlign w:val="center"/>
          </w:tcPr>
          <w:p w14:paraId="46C7D2BC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交货时间</w:t>
            </w:r>
          </w:p>
        </w:tc>
      </w:tr>
      <w:tr w14:paraId="1ECB0F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26" w:type="dxa"/>
            <w:vMerge w:val="restart"/>
            <w:vAlign w:val="center"/>
          </w:tcPr>
          <w:p w14:paraId="28F9B2B5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废触媒</w:t>
            </w:r>
          </w:p>
          <w:p w14:paraId="269167E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（五氧化二钒）</w:t>
            </w:r>
          </w:p>
        </w:tc>
        <w:tc>
          <w:tcPr>
            <w:tcW w:w="1544" w:type="dxa"/>
            <w:vMerge w:val="restart"/>
            <w:vAlign w:val="center"/>
          </w:tcPr>
          <w:p w14:paraId="77C6621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261-173-50</w:t>
            </w:r>
          </w:p>
        </w:tc>
        <w:tc>
          <w:tcPr>
            <w:tcW w:w="702" w:type="dxa"/>
            <w:vAlign w:val="center"/>
          </w:tcPr>
          <w:p w14:paraId="58D5A43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895" w:type="dxa"/>
            <w:vAlign w:val="center"/>
          </w:tcPr>
          <w:p w14:paraId="6CB7016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（以实际过磅重量为准）</w:t>
            </w:r>
          </w:p>
        </w:tc>
        <w:tc>
          <w:tcPr>
            <w:tcW w:w="1760" w:type="dxa"/>
            <w:vAlign w:val="center"/>
          </w:tcPr>
          <w:p w14:paraId="2D91CD39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磷化工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分公司（四川省德阳市什邡市洛水镇）</w:t>
            </w:r>
          </w:p>
        </w:tc>
        <w:tc>
          <w:tcPr>
            <w:tcW w:w="1760" w:type="dxa"/>
            <w:vMerge w:val="restart"/>
            <w:vAlign w:val="center"/>
          </w:tcPr>
          <w:p w14:paraId="33AC2DAB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以比选人通知时间为准</w:t>
            </w:r>
          </w:p>
        </w:tc>
      </w:tr>
      <w:tr w14:paraId="7EF7C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26" w:type="dxa"/>
            <w:vMerge w:val="continue"/>
            <w:vAlign w:val="center"/>
          </w:tcPr>
          <w:p w14:paraId="783F0971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5B0AB527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2882846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895" w:type="dxa"/>
            <w:vAlign w:val="center"/>
          </w:tcPr>
          <w:p w14:paraId="6FFB560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（以实际过磅重量为准）</w:t>
            </w:r>
          </w:p>
        </w:tc>
        <w:tc>
          <w:tcPr>
            <w:tcW w:w="1760" w:type="dxa"/>
            <w:vAlign w:val="center"/>
          </w:tcPr>
          <w:p w14:paraId="5A596911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有色金属分公司（四川省德阳市什邡市师古镇）</w:t>
            </w:r>
          </w:p>
        </w:tc>
        <w:tc>
          <w:tcPr>
            <w:tcW w:w="1760" w:type="dxa"/>
            <w:vMerge w:val="continue"/>
            <w:vAlign w:val="center"/>
          </w:tcPr>
          <w:p w14:paraId="5B32696A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5D426B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周期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2025年8月1日至2026年7月31日。</w:t>
      </w:r>
    </w:p>
    <w:p w14:paraId="65389377">
      <w:pPr>
        <w:widowControl/>
        <w:shd w:val="clear" w:color="auto" w:fill="FFFFFF"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35094091"/>
      <w:r>
        <w:rPr>
          <w:rFonts w:hint="eastAsia" w:asciiTheme="minorEastAsia" w:hAnsiTheme="minorEastAsia" w:cstheme="minorEastAsia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申请比选人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资格要求</w:t>
      </w:r>
    </w:p>
    <w:p w14:paraId="1FAF4AB9">
      <w:pPr>
        <w:widowControl/>
        <w:spacing w:line="440" w:lineRule="exact"/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2"/>
      <w:bookmarkStart w:id="2" w:name="OLE_LINK26"/>
      <w:bookmarkStart w:id="3" w:name="OLE_LINK25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投标人应具备履行合同和独立承担民事责任的能力，具备合法的经营资质，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有效的营业执照（三证合一）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危险废物经营许可证、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>危险货物运输单位营业执照、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危险货物道路运输经营许可证等相关资质。</w:t>
      </w:r>
    </w:p>
    <w:bookmarkEnd w:id="1"/>
    <w:bookmarkEnd w:id="2"/>
    <w:bookmarkEnd w:id="3"/>
    <w:p w14:paraId="2AE6E59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outlineLvl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五、比选文件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获取方式为：自 2025年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29</w:t>
      </w:r>
      <w:bookmarkStart w:id="27" w:name="_GoBack"/>
      <w:bookmarkEnd w:id="27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 00 时 00 分至 2025年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递交截止时间：2025年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 9 时 30 分。</w:t>
      </w:r>
    </w:p>
    <w:p w14:paraId="0E7C9B6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人按本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文件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格式制作报价文件，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标的物名称、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危废代码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、数量、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处置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单价、合计金额、付款方式等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响应性文件的要求</w:t>
      </w:r>
    </w:p>
    <w:p w14:paraId="5C2DC8B1">
      <w:pPr>
        <w:widowControl/>
        <w:spacing w:line="440" w:lineRule="exact"/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①比选申请人需提供</w:t>
      </w:r>
      <w:bookmarkStart w:id="4" w:name="OLE_LINK3"/>
      <w:bookmarkStart w:id="5" w:name="OLE_LINK4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营业执照（三证合一）</w:t>
      </w:r>
      <w:bookmarkEnd w:id="4"/>
      <w:bookmarkEnd w:id="5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危险废物经营许可证、危险货物道路运输经营许可证等相关资质。</w:t>
      </w:r>
    </w:p>
    <w:p w14:paraId="32B36EFC">
      <w:pPr>
        <w:widowControl/>
        <w:numPr>
          <w:ilvl w:val="0"/>
          <w:numId w:val="2"/>
        </w:numPr>
        <w:spacing w:line="440" w:lineRule="exact"/>
        <w:ind w:right="360"/>
        <w:jc w:val="left"/>
        <w:rPr>
          <w:rFonts w:hint="eastAsia" w:cs="Segoe UI" w:asciiTheme="minorEastAsia" w:hAnsiTheme="minorEastAsia"/>
          <w:kern w:val="0"/>
          <w:sz w:val="28"/>
          <w:szCs w:val="28"/>
        </w:rPr>
      </w:pPr>
      <w:bookmarkStart w:id="6" w:name="OLE_LINK48"/>
      <w:bookmarkStart w:id="7" w:name="OLE_LINK47"/>
      <w:bookmarkStart w:id="8" w:name="OLE_LINK59"/>
      <w:bookmarkStart w:id="9" w:name="OLE_LINK58"/>
      <w:r>
        <w:rPr>
          <w:rFonts w:hint="eastAsia" w:cs="Segoe UI" w:asciiTheme="minorEastAsia" w:hAnsiTheme="minorEastAsia"/>
          <w:kern w:val="0"/>
          <w:sz w:val="28"/>
          <w:szCs w:val="28"/>
        </w:rPr>
        <w:t>评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比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委员会对满足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比选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文件要求的投标文件，以投标单价最</w:t>
      </w:r>
      <w:r>
        <w:rPr>
          <w:rFonts w:hint="eastAsia" w:cs="Segoe UI" w:asciiTheme="minorEastAsia" w:hAnsiTheme="minorEastAsia"/>
          <w:kern w:val="0"/>
          <w:sz w:val="28"/>
          <w:szCs w:val="28"/>
          <w:lang w:val="en-US" w:eastAsia="zh-CN"/>
        </w:rPr>
        <w:t>低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者确定中标人。</w:t>
      </w:r>
      <w:bookmarkEnd w:id="6"/>
      <w:bookmarkEnd w:id="7"/>
    </w:p>
    <w:bookmarkEnd w:id="8"/>
    <w:bookmarkEnd w:id="9"/>
    <w:p w14:paraId="5B018649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41BBDA78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440F1485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技术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黄  涛13568213381   </w:t>
      </w:r>
    </w:p>
    <w:p w14:paraId="41A3F521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商务联系人：谢恩贵13890228228</w:t>
      </w:r>
    </w:p>
    <w:p w14:paraId="446C7FA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48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6ED43AE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20636B28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Theme="minorEastAsia" w:hAnsiTheme="minorEastAsia" w:eastAsiaTheme="minorEastAsia" w:cstheme="minorEastAsia"/>
        </w:rPr>
      </w:pPr>
    </w:p>
    <w:p w14:paraId="7F1145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480" w:lineRule="exact"/>
        <w:ind w:firstLine="5460" w:firstLineChars="19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四川宏达股份有限公司</w:t>
      </w:r>
    </w:p>
    <w:p w14:paraId="2A7A58D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880" w:firstLineChars="21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2025年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 w:asciiTheme="minorEastAsia" w:hAnsiTheme="minorEastAsia" w:eastAsiaTheme="minorEastAsia" w:cstheme="minorEastAsia"/>
        </w:rPr>
      </w:pPr>
    </w:p>
    <w:p w14:paraId="77262E01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</w:p>
    <w:p w14:paraId="151C3386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bookmarkStart w:id="10" w:name="_Hlk155791057"/>
      <w:bookmarkStart w:id="11" w:name="_Toc16684"/>
      <w:bookmarkStart w:id="12" w:name="_Toc268793030"/>
      <w:bookmarkStart w:id="13" w:name="_Toc238552273"/>
      <w:bookmarkStart w:id="14" w:name="_Toc275019684"/>
      <w:bookmarkStart w:id="15" w:name="_Toc274236999"/>
      <w:bookmarkStart w:id="16" w:name="_Toc318986166"/>
      <w:bookmarkStart w:id="17" w:name="_Toc303149804"/>
      <w:bookmarkStart w:id="18" w:name="_Toc274596702"/>
      <w:bookmarkStart w:id="19" w:name="_Toc275019290"/>
      <w:bookmarkStart w:id="20" w:name="_Toc269113527"/>
      <w:bookmarkStart w:id="21" w:name="_Toc238797630"/>
      <w:bookmarkStart w:id="22" w:name="_Toc275014947"/>
      <w:bookmarkStart w:id="23" w:name="_Toc275019836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第二章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10"/>
    <w:p w14:paraId="15CA621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报废触媒（五氧化二钒）无害化综合利用处置合同</w:t>
      </w:r>
    </w:p>
    <w:p w14:paraId="531683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E834563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四川宏达股份有限公司                              </w:t>
      </w:r>
    </w:p>
    <w:p w14:paraId="4EEA28AB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p w14:paraId="693B8239">
      <w:pPr>
        <w:spacing w:line="32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根据《中华人民共和国固体废物污染环境防治法》及国家关于危险废物集中无害化综合利用的法律法规，本着符合环境保护的要求，平等互利的原则，甲乙双方经友好协商，就甲方在生产维修过程中产生的</w:t>
      </w:r>
      <w:r>
        <w:rPr>
          <w:rFonts w:hint="eastAsia" w:ascii="黑体" w:hAnsi="黑体" w:eastAsia="黑体" w:cs="仿宋"/>
          <w:sz w:val="24"/>
        </w:rPr>
        <w:t>废矿物油</w:t>
      </w:r>
      <w:r>
        <w:rPr>
          <w:rFonts w:hint="eastAsia" w:ascii="黑体" w:hAnsi="黑体" w:eastAsia="黑体" w:cs="宋体"/>
          <w:sz w:val="24"/>
        </w:rPr>
        <w:t>，交由乙方进行集中无害化综合利用处置事宜达成本合同，具体内容如下：</w:t>
      </w:r>
    </w:p>
    <w:p w14:paraId="7B07296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黑体" w:hAnsi="黑体" w:eastAsia="黑体" w:cs="宋体"/>
          <w:b/>
          <w:sz w:val="24"/>
        </w:rPr>
        <w:t>危险废物名称、代码、数量及综合利用处置费用</w:t>
      </w:r>
    </w:p>
    <w:tbl>
      <w:tblPr>
        <w:tblStyle w:val="17"/>
        <w:tblW w:w="10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10"/>
        <w:gridCol w:w="1761"/>
        <w:gridCol w:w="1824"/>
        <w:gridCol w:w="1188"/>
        <w:gridCol w:w="1947"/>
      </w:tblGrid>
      <w:tr w14:paraId="1110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2A45358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危险废物种类</w:t>
            </w:r>
          </w:p>
        </w:tc>
        <w:tc>
          <w:tcPr>
            <w:tcW w:w="1710" w:type="dxa"/>
          </w:tcPr>
          <w:p w14:paraId="78B4DDE8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危废类别代码</w:t>
            </w:r>
          </w:p>
        </w:tc>
        <w:tc>
          <w:tcPr>
            <w:tcW w:w="1761" w:type="dxa"/>
          </w:tcPr>
          <w:p w14:paraId="79177DE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1824" w:type="dxa"/>
          </w:tcPr>
          <w:p w14:paraId="229D3BC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88" w:type="dxa"/>
          </w:tcPr>
          <w:p w14:paraId="75C5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预估数量（吨）</w:t>
            </w:r>
          </w:p>
        </w:tc>
        <w:tc>
          <w:tcPr>
            <w:tcW w:w="1947" w:type="dxa"/>
          </w:tcPr>
          <w:p w14:paraId="13D5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处置单价</w:t>
            </w:r>
          </w:p>
          <w:p w14:paraId="22D1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（元/吨）</w:t>
            </w:r>
          </w:p>
        </w:tc>
      </w:tr>
      <w:tr w14:paraId="7057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711" w:type="dxa"/>
            <w:vAlign w:val="center"/>
          </w:tcPr>
          <w:p w14:paraId="5D5DE24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HW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 w14:paraId="5ED095F9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261-173-50</w:t>
            </w:r>
          </w:p>
        </w:tc>
        <w:tc>
          <w:tcPr>
            <w:tcW w:w="1761" w:type="dxa"/>
            <w:vAlign w:val="center"/>
          </w:tcPr>
          <w:p w14:paraId="60CA4CB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 w14:paraId="3179BD5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废触媒</w:t>
            </w:r>
          </w:p>
          <w:p w14:paraId="19558A20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（五氧化二钒）</w:t>
            </w:r>
          </w:p>
        </w:tc>
        <w:tc>
          <w:tcPr>
            <w:tcW w:w="1188" w:type="dxa"/>
            <w:vAlign w:val="center"/>
          </w:tcPr>
          <w:p w14:paraId="060F09B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947" w:type="dxa"/>
            <w:vAlign w:val="center"/>
          </w:tcPr>
          <w:p w14:paraId="5B97895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4FBF7F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二、甲方的责任和义务</w:t>
      </w:r>
    </w:p>
    <w:p w14:paraId="3C23734D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1.专人负责本单位危险废物的收集、分类及暂存保管，符合国家有关技术规范、政策法规及程序。</w:t>
      </w:r>
    </w:p>
    <w:p w14:paraId="58416B6A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2.危险废物使用</w:t>
      </w:r>
      <w:r>
        <w:rPr>
          <w:rFonts w:hint="eastAsia" w:ascii="黑体" w:hAnsi="黑体" w:eastAsia="黑体" w:cs="宋体"/>
          <w:sz w:val="24"/>
          <w:lang w:val="en-US" w:eastAsia="zh-CN"/>
        </w:rPr>
        <w:t>塑料编织吨袋</w:t>
      </w:r>
      <w:r>
        <w:rPr>
          <w:rFonts w:hint="eastAsia" w:ascii="黑体" w:hAnsi="黑体" w:eastAsia="黑体" w:cs="宋体"/>
          <w:sz w:val="24"/>
        </w:rPr>
        <w:t>收集储存，符合国家有关技术规范。</w:t>
      </w:r>
    </w:p>
    <w:p w14:paraId="1FE31E8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3.负责申领危险废物电子转移联单，办理转运前的相关手续。</w:t>
      </w:r>
    </w:p>
    <w:p w14:paraId="7B8E6946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4.对综合利用处置费用保密。</w:t>
      </w:r>
    </w:p>
    <w:p w14:paraId="55CE6C6D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三、乙方的责任和义务</w:t>
      </w:r>
    </w:p>
    <w:p w14:paraId="31913385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负责向甲方提供危险废物处置单位营业执照及危险废物经营许可证、处置单位应急预案、危险废物转移运输路线图、危险废物转移运输合同、危险货物运输单位营业执照及道路运输经营许可证、运输单位应急预案、运输车辆行驶证、驾驶员身份证和驾驶证、押运员身份证和押运证等资料复印件并加盖红章。</w:t>
      </w:r>
    </w:p>
    <w:p w14:paraId="2271043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2.按双方约定时间或甲方通知时间，收运甲方产生危险废物。废物出厂时，甲乙双方对数量、种类进行确认，以便跟踪及结算。</w:t>
      </w:r>
    </w:p>
    <w:p w14:paraId="3719CFCB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按照国家关于危险废物集中无害化综合利用处置的法律法规，乙方对危险废物运输和处置的全过程负责，若在运输和处置过程中发生安全环保事故（包括但不限于人身伤害、财产损失和环保污染事故），由乙方承担全部责任及损失，若因此给甲方和第三方造成经济损失，由乙方全额赔偿。</w:t>
      </w:r>
    </w:p>
    <w:p w14:paraId="59A86D09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4.乙方人员及车辆进入甲方厂区必须遵守甲方的</w:t>
      </w:r>
      <w:r>
        <w:rPr>
          <w:rFonts w:hint="eastAsia" w:eastAsia="黑体" w:cs="宋体" w:asciiTheme="minorEastAsia" w:hAnsiTheme="minorEastAsia"/>
          <w:sz w:val="24"/>
        </w:rPr>
        <w:t>«</w:t>
      </w:r>
      <w:r>
        <w:rPr>
          <w:rFonts w:hint="eastAsia" w:ascii="黑体" w:hAnsi="黑体" w:eastAsia="黑体" w:cs="宋体"/>
          <w:sz w:val="24"/>
        </w:rPr>
        <w:t>安全管理制度和规定</w:t>
      </w:r>
      <w:r>
        <w:rPr>
          <w:rFonts w:hint="eastAsia" w:eastAsia="黑体" w:cs="宋体" w:asciiTheme="minorEastAsia" w:hAnsiTheme="minorEastAsia"/>
          <w:sz w:val="24"/>
        </w:rPr>
        <w:t>»</w:t>
      </w:r>
      <w:r>
        <w:rPr>
          <w:rFonts w:hint="eastAsia" w:ascii="黑体" w:hAnsi="黑体" w:eastAsia="黑体" w:cs="宋体"/>
          <w:sz w:val="24"/>
        </w:rPr>
        <w:t>，服从甲方的安全监督管理，进行规范作业。</w:t>
      </w:r>
    </w:p>
    <w:p w14:paraId="4BBD91F3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5.负责危险废物的运输和卸</w:t>
      </w:r>
      <w:r>
        <w:rPr>
          <w:rFonts w:hint="eastAsia" w:ascii="黑体" w:hAnsi="黑体" w:eastAsia="黑体" w:cs="宋体"/>
          <w:sz w:val="24"/>
          <w:lang w:val="en-US" w:eastAsia="zh-CN"/>
        </w:rPr>
        <w:t>车</w:t>
      </w:r>
      <w:r>
        <w:rPr>
          <w:rFonts w:hint="eastAsia" w:ascii="黑体" w:hAnsi="黑体" w:eastAsia="黑体" w:cs="宋体"/>
          <w:sz w:val="24"/>
        </w:rPr>
        <w:t>，并承担运费、卸</w:t>
      </w:r>
      <w:r>
        <w:rPr>
          <w:rFonts w:hint="eastAsia" w:ascii="黑体" w:hAnsi="黑体" w:eastAsia="黑体" w:cs="宋体"/>
          <w:sz w:val="24"/>
          <w:lang w:val="en-US" w:eastAsia="zh-CN"/>
        </w:rPr>
        <w:t>车</w:t>
      </w:r>
      <w:r>
        <w:rPr>
          <w:rFonts w:hint="eastAsia" w:ascii="黑体" w:hAnsi="黑体" w:eastAsia="黑体" w:cs="宋体"/>
          <w:sz w:val="24"/>
        </w:rPr>
        <w:t>费、保险费、杂费等相关费用。</w:t>
      </w:r>
    </w:p>
    <w:p w14:paraId="15ABAA29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6.对甲方生产经营状况保密。</w:t>
      </w:r>
    </w:p>
    <w:p w14:paraId="52958AC1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7.有义务协助甲方办理危险废物处置的申报、转移等相关手续。</w:t>
      </w:r>
    </w:p>
    <w:p w14:paraId="65326BA5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四、付款方式及发票</w:t>
      </w:r>
    </w:p>
    <w:p w14:paraId="423907E0">
      <w:pPr>
        <w:spacing w:line="340" w:lineRule="exact"/>
        <w:ind w:firstLine="240" w:firstLineChars="100"/>
        <w:jc w:val="left"/>
        <w:rPr>
          <w:rFonts w:ascii="黑体" w:hAnsi="黑体" w:eastAsia="黑体" w:cs="宋体"/>
          <w:bCs/>
          <w:color w:val="000000"/>
          <w:sz w:val="24"/>
        </w:rPr>
      </w:pPr>
      <w:r>
        <w:rPr>
          <w:rFonts w:hint="eastAsia" w:ascii="黑体" w:hAnsi="黑体" w:eastAsia="黑体" w:cs="宋体"/>
          <w:bCs/>
          <w:color w:val="000000"/>
          <w:sz w:val="24"/>
        </w:rPr>
        <w:t>1.付款方式：现金或银行现汇结算。危险废物装车、过磅完毕后，乙方按实际过磅数量，现金结算或一次性将危险废物</w:t>
      </w:r>
      <w:r>
        <w:rPr>
          <w:rFonts w:hint="eastAsia" w:ascii="黑体" w:hAnsi="黑体" w:eastAsia="黑体" w:cs="宋体"/>
          <w:bCs/>
          <w:color w:val="000000"/>
          <w:sz w:val="24"/>
          <w:lang w:val="en-US" w:eastAsia="zh-CN"/>
        </w:rPr>
        <w:t>无害化</w:t>
      </w:r>
      <w:r>
        <w:rPr>
          <w:rFonts w:hint="eastAsia" w:ascii="黑体" w:hAnsi="黑体" w:eastAsia="黑体" w:cs="宋体"/>
          <w:bCs/>
          <w:color w:val="000000"/>
          <w:sz w:val="24"/>
        </w:rPr>
        <w:t>综合利用处置费汇入甲方指定账户。</w:t>
      </w:r>
    </w:p>
    <w:p w14:paraId="75064727">
      <w:pPr>
        <w:spacing w:line="340" w:lineRule="exact"/>
        <w:ind w:firstLine="482" w:firstLineChars="200"/>
        <w:jc w:val="left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sz w:val="24"/>
        </w:rPr>
        <w:t>甲方指定账户如下：</w:t>
      </w:r>
    </w:p>
    <w:p w14:paraId="40B4F9BD">
      <w:pPr>
        <w:spacing w:line="340" w:lineRule="exact"/>
        <w:ind w:firstLine="482" w:firstLineChars="200"/>
        <w:jc w:val="lef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账户名称：四川宏达股份有限公司</w:t>
      </w:r>
    </w:p>
    <w:p w14:paraId="61A48336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 xml:space="preserve">开户行：中国工商银行什邡支行  </w:t>
      </w:r>
    </w:p>
    <w:p w14:paraId="5AC55B00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账  号：2305 3711 1910 0157 626</w:t>
      </w:r>
    </w:p>
    <w:p w14:paraId="49945467">
      <w:pPr>
        <w:widowControl/>
        <w:spacing w:line="340" w:lineRule="exact"/>
        <w:ind w:firstLine="472" w:firstLineChars="196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行  号：1026 5833 7111</w:t>
      </w:r>
    </w:p>
    <w:p w14:paraId="39C9710A">
      <w:pPr>
        <w:spacing w:line="340" w:lineRule="exact"/>
        <w:ind w:firstLine="240" w:firstLineChars="100"/>
        <w:jc w:val="left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2.发票：一票制，甲方开具全额增值税专用发票（税率：13%）。</w:t>
      </w:r>
    </w:p>
    <w:p w14:paraId="7CE65BB5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五、违约责任</w:t>
      </w:r>
    </w:p>
    <w:p w14:paraId="388F7416">
      <w:pPr>
        <w:spacing w:line="340" w:lineRule="exac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b/>
          <w:sz w:val="24"/>
        </w:rPr>
        <w:t xml:space="preserve">  </w:t>
      </w:r>
      <w:r>
        <w:rPr>
          <w:rFonts w:hint="eastAsia" w:ascii="黑体" w:hAnsi="黑体" w:eastAsia="黑体" w:cs="宋体"/>
          <w:sz w:val="24"/>
        </w:rPr>
        <w:t>1.乙方应具备合法的经营资质，并向需方主动提供相应证件。如因故意虚假造成的一切法律责任和经济纠纷由乙方承担。</w:t>
      </w:r>
    </w:p>
    <w:p w14:paraId="79A155C9">
      <w:pPr>
        <w:spacing w:line="340" w:lineRule="exac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2.合同生效后，甲方在合同有效期内，不得将其产生的危险废物交由其他单位处置。如果违约，甲方自负法律责任，并向乙方支付违约金（人民币）：10000.00元整（壹万元整）。</w:t>
      </w:r>
    </w:p>
    <w:p w14:paraId="57AC1470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六、其他约定</w:t>
      </w:r>
    </w:p>
    <w:p w14:paraId="2FFFA808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1.转移危险废物，由甲方在四川省固体废物管理信息系统申领电子转移联单，交由危险废物转运驾驶员随车带至乙方，乙方和运输单位盖章后，将转移联单邮寄给甲方。</w:t>
      </w:r>
    </w:p>
    <w:p w14:paraId="7012D7BD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2.乙方未按双方约定时间转运危险废物，严重影响甲方正常生产，或未按规范要求进行危险废物处置等情况，甲方有权终止合同，并要求乙方赔偿相应经济损失。</w:t>
      </w:r>
    </w:p>
    <w:p w14:paraId="406FB280">
      <w:pPr>
        <w:spacing w:line="340" w:lineRule="exact"/>
        <w:ind w:firstLine="240" w:firstLineChars="1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3.未尽事宜协商解决。</w:t>
      </w:r>
    </w:p>
    <w:p w14:paraId="11463FAB">
      <w:pPr>
        <w:spacing w:line="340" w:lineRule="exact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七、争议解决方式</w:t>
      </w:r>
    </w:p>
    <w:p w14:paraId="470599AC">
      <w:pPr>
        <w:spacing w:line="3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因履行本合同而产生争议或纠纷，甲乙双方尽量协商解决，协商不成的，依法向有管辖权的人民法院提起诉讼。</w:t>
      </w:r>
    </w:p>
    <w:p w14:paraId="3442ABB6">
      <w:pPr>
        <w:spacing w:line="340" w:lineRule="exact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八、合同有效期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：</w:t>
      </w:r>
      <w:r>
        <w:rPr>
          <w:rFonts w:hint="eastAsia" w:ascii="黑体" w:hAnsi="黑体" w:eastAsia="黑体" w:cs="宋体"/>
          <w:bCs/>
          <w:sz w:val="24"/>
        </w:rPr>
        <w:t>自202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5</w:t>
      </w:r>
      <w:r>
        <w:rPr>
          <w:rFonts w:hint="eastAsia" w:ascii="黑体" w:hAnsi="黑体" w:eastAsia="黑体" w:cs="宋体"/>
          <w:bCs/>
          <w:sz w:val="24"/>
        </w:rPr>
        <w:t>年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X</w:t>
      </w:r>
      <w:r>
        <w:rPr>
          <w:rFonts w:hint="eastAsia" w:ascii="黑体" w:hAnsi="黑体" w:eastAsia="黑体" w:cs="宋体"/>
          <w:bCs/>
          <w:sz w:val="24"/>
        </w:rPr>
        <w:t>月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XX</w:t>
      </w:r>
      <w:r>
        <w:rPr>
          <w:rFonts w:hint="eastAsia" w:ascii="黑体" w:hAnsi="黑体" w:eastAsia="黑体" w:cs="宋体"/>
          <w:bCs/>
          <w:sz w:val="24"/>
        </w:rPr>
        <w:t>日起至202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24"/>
        </w:rPr>
        <w:t>年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24"/>
        </w:rPr>
        <w:t>月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31</w:t>
      </w:r>
      <w:r>
        <w:rPr>
          <w:rFonts w:hint="eastAsia" w:ascii="黑体" w:hAnsi="黑体" w:eastAsia="黑体" w:cs="宋体"/>
          <w:bCs/>
          <w:sz w:val="24"/>
        </w:rPr>
        <w:t>日止。</w:t>
      </w:r>
    </w:p>
    <w:p w14:paraId="49ADBAC8">
      <w:pPr>
        <w:spacing w:line="340" w:lineRule="exact"/>
        <w:rPr>
          <w:rFonts w:hint="eastAsia" w:ascii="黑体" w:hAnsi="黑体" w:eastAsia="黑体" w:cs="宋体"/>
          <w:b/>
          <w:bCs/>
          <w:sz w:val="24"/>
          <w:lang w:eastAsia="zh-CN"/>
        </w:rPr>
      </w:pPr>
      <w:r>
        <w:rPr>
          <w:rFonts w:hint="eastAsia" w:ascii="黑体" w:hAnsi="黑体" w:eastAsia="黑体" w:cs="宋体"/>
          <w:b/>
          <w:bCs/>
          <w:sz w:val="24"/>
        </w:rPr>
        <w:t>九、合同生效及份数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：</w:t>
      </w:r>
    </w:p>
    <w:p w14:paraId="572F06A5">
      <w:pPr>
        <w:spacing w:line="340" w:lineRule="exact"/>
        <w:ind w:firstLine="480" w:firstLineChars="200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本合同自甲乙双方法定代表人或委托代理人签字盖章后生效。本合同一式陆份，甲方肆份，乙方二份。传真件、复印件具有同等法律效力。</w:t>
      </w:r>
    </w:p>
    <w:p w14:paraId="74D8F7FE">
      <w:pPr>
        <w:spacing w:line="340" w:lineRule="exact"/>
        <w:rPr>
          <w:rFonts w:ascii="黑体" w:hAnsi="黑体" w:eastAsia="黑体" w:cs="宋体"/>
          <w:w w:val="90"/>
          <w:sz w:val="24"/>
        </w:rPr>
      </w:pPr>
      <w:r>
        <w:rPr>
          <w:rFonts w:hint="eastAsia" w:ascii="黑体" w:hAnsi="黑体" w:eastAsia="黑体" w:cs="宋体"/>
          <w:w w:val="90"/>
          <w:sz w:val="24"/>
        </w:rPr>
        <w:t>(以下无正文)</w:t>
      </w:r>
    </w:p>
    <w:tbl>
      <w:tblPr>
        <w:tblStyle w:val="1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19"/>
      </w:tblGrid>
      <w:tr w14:paraId="683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1F4727ED">
            <w:pPr>
              <w:pStyle w:val="12"/>
              <w:spacing w:line="280" w:lineRule="exac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甲方(盖章):四川宏达股份有限公司</w:t>
            </w:r>
          </w:p>
        </w:tc>
        <w:tc>
          <w:tcPr>
            <w:tcW w:w="4819" w:type="dxa"/>
            <w:vAlign w:val="center"/>
          </w:tcPr>
          <w:p w14:paraId="2436416B">
            <w:pPr>
              <w:pStyle w:val="12"/>
              <w:spacing w:line="280" w:lineRule="exac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乙方（盖章）:</w:t>
            </w:r>
          </w:p>
        </w:tc>
      </w:tr>
      <w:tr w14:paraId="3F11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56A43CC4">
            <w:pPr>
              <w:pStyle w:val="12"/>
              <w:spacing w:line="280" w:lineRule="exac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法定代表人或委托代理人：</w:t>
            </w:r>
          </w:p>
        </w:tc>
        <w:tc>
          <w:tcPr>
            <w:tcW w:w="4819" w:type="dxa"/>
            <w:vAlign w:val="center"/>
          </w:tcPr>
          <w:p w14:paraId="7E64E059">
            <w:pPr>
              <w:pStyle w:val="12"/>
              <w:spacing w:line="280" w:lineRule="exac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法定代表人或委托代理人：</w:t>
            </w:r>
          </w:p>
        </w:tc>
      </w:tr>
      <w:tr w14:paraId="4AD4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57260F5C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联系人及电话：谢恩贵 13890228228  </w:t>
            </w:r>
          </w:p>
        </w:tc>
        <w:tc>
          <w:tcPr>
            <w:tcW w:w="4819" w:type="dxa"/>
            <w:vAlign w:val="center"/>
          </w:tcPr>
          <w:p w14:paraId="3174361D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联系人及电话：</w:t>
            </w:r>
          </w:p>
        </w:tc>
      </w:tr>
      <w:tr w14:paraId="6A97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6B214B5B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通讯地址：四川省什邡市洛水镇</w:t>
            </w:r>
          </w:p>
        </w:tc>
        <w:tc>
          <w:tcPr>
            <w:tcW w:w="4819" w:type="dxa"/>
            <w:vAlign w:val="center"/>
          </w:tcPr>
          <w:p w14:paraId="667E9488">
            <w:pPr>
              <w:pStyle w:val="12"/>
              <w:spacing w:line="320" w:lineRule="exact"/>
              <w:ind w:left="1200" w:hanging="1200" w:hangingChars="500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通讯地址：</w:t>
            </w:r>
          </w:p>
        </w:tc>
      </w:tr>
      <w:tr w14:paraId="3F1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7E30BB21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 户 行：中国银行什邡支行</w:t>
            </w:r>
          </w:p>
        </w:tc>
        <w:tc>
          <w:tcPr>
            <w:tcW w:w="4819" w:type="dxa"/>
            <w:vAlign w:val="center"/>
          </w:tcPr>
          <w:p w14:paraId="2F68B555">
            <w:pPr>
              <w:pStyle w:val="12"/>
              <w:spacing w:line="440" w:lineRule="exact"/>
              <w:ind w:left="1200" w:hanging="1200" w:hangingChars="500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 户 行：</w:t>
            </w:r>
          </w:p>
        </w:tc>
      </w:tr>
      <w:tr w14:paraId="4C5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4B0C8F70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帐    号：121203636202</w:t>
            </w:r>
          </w:p>
        </w:tc>
        <w:tc>
          <w:tcPr>
            <w:tcW w:w="4819" w:type="dxa"/>
            <w:vAlign w:val="center"/>
          </w:tcPr>
          <w:p w14:paraId="31416653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帐    号：</w:t>
            </w:r>
          </w:p>
        </w:tc>
      </w:tr>
      <w:tr w14:paraId="1F47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66477DE2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税    号：91510600205363163Y</w:t>
            </w:r>
          </w:p>
        </w:tc>
        <w:tc>
          <w:tcPr>
            <w:tcW w:w="4819" w:type="dxa"/>
            <w:vAlign w:val="center"/>
          </w:tcPr>
          <w:p w14:paraId="145F88DA">
            <w:pPr>
              <w:spacing w:line="276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税    号：</w:t>
            </w:r>
          </w:p>
        </w:tc>
      </w:tr>
      <w:tr w14:paraId="0A6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20" w:type="dxa"/>
            <w:vAlign w:val="center"/>
          </w:tcPr>
          <w:p w14:paraId="1932D184">
            <w:pPr>
              <w:pStyle w:val="12"/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签订地点：</w:t>
            </w:r>
            <w:r>
              <w:rPr>
                <w:rFonts w:hint="eastAsia" w:ascii="黑体" w:hAnsi="黑体" w:eastAsia="黑体"/>
                <w:lang w:val="en-US" w:eastAsia="zh-CN"/>
              </w:rPr>
              <w:t>四川省</w:t>
            </w:r>
            <w:r>
              <w:rPr>
                <w:rFonts w:hint="eastAsia" w:ascii="黑体" w:hAnsi="黑体" w:eastAsia="黑体"/>
              </w:rPr>
              <w:t>什邡市洛水镇</w:t>
            </w:r>
          </w:p>
        </w:tc>
        <w:tc>
          <w:tcPr>
            <w:tcW w:w="4819" w:type="dxa"/>
            <w:vAlign w:val="center"/>
          </w:tcPr>
          <w:p w14:paraId="44264488">
            <w:pPr>
              <w:pStyle w:val="12"/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签订日期：202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hint="eastAsia" w:ascii="黑体" w:hAnsi="黑体" w:eastAsia="黑体"/>
                <w:lang w:val="en-US" w:eastAsia="zh-CN"/>
              </w:rPr>
              <w:t>X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hint="eastAsia" w:ascii="黑体" w:hAnsi="黑体" w:eastAsia="黑体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5EE89FF4">
      <w:pPr>
        <w:widowControl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br w:type="page"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default" w:asciiTheme="minorEastAsia" w:hAnsiTheme="minorEastAsia" w:eastAsiaTheme="minorEastAsia" w:cstheme="minorEastAsia"/>
          <w:color w:val="auto"/>
          <w:sz w:val="40"/>
          <w:szCs w:val="40"/>
          <w:lang w:val="en-US"/>
        </w:rPr>
      </w:pPr>
      <w:r>
        <w:rPr>
          <w:rFonts w:hint="eastAsia" w:asciiTheme="minorEastAsia" w:hAnsiTheme="minorEastAsia" w:cstheme="minorEastAsia"/>
          <w:color w:val="auto"/>
          <w:sz w:val="40"/>
          <w:szCs w:val="40"/>
          <w:lang w:val="en-US" w:eastAsia="zh-CN"/>
        </w:rPr>
        <w:t>废触媒处置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Theme="minorEastAsia" w:hAnsiTheme="minorEastAsia" w:eastAsiaTheme="minorEastAsia" w:cstheme="minorEastAsia"/>
          <w:color w:val="auto"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Theme="minorEastAsia" w:hAnsiTheme="minorEastAsia" w:eastAsiaTheme="minorEastAsia" w:cstheme="minorEastAsia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360" w:firstLineChars="100"/>
        <w:jc w:val="left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36"/>
          <w:szCs w:val="36"/>
          <w:lang w:val="en-US" w:eastAsia="zh-CN"/>
        </w:rPr>
        <w:t>参加比选单位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Theme="minorEastAsia" w:hAnsiTheme="minorEastAsia" w:eastAsiaTheme="minorEastAsia" w:cstheme="minorEastAsia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br w:type="page"/>
      </w:r>
      <w:bookmarkStart w:id="24" w:name="_Toc30198"/>
      <w:bookmarkStart w:id="25" w:name="_Toc4384"/>
      <w:bookmarkStart w:id="26" w:name="_Toc9978"/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4"/>
      <w:bookmarkEnd w:id="25"/>
      <w:bookmarkEnd w:id="26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(比选申请人名称)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zCs w:val="24"/>
          <w:lang w:val="en-US" w:eastAsia="zh-CN"/>
        </w:rPr>
        <w:t>报废触媒（五氧化二钒）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 w:val="24"/>
          <w:szCs w:val="24"/>
          <w:lang w:val="en-US" w:eastAsia="zh-CN"/>
        </w:rPr>
        <w:t>无害化综合利用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zCs w:val="24"/>
          <w:lang w:val="en-US" w:eastAsia="zh-CN"/>
        </w:rPr>
        <w:t>处置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) 比选文件(包括补充通知的全部内容，愿意以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大写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元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/吨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</w:rPr>
        <w:t>（¥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pacing w:val="-3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3"/>
          <w:highlight w:val="none"/>
        </w:rPr>
        <w:t>元</w:t>
      </w:r>
      <w:r>
        <w:rPr>
          <w:rFonts w:hint="eastAsia" w:asciiTheme="minorEastAsia" w:hAnsiTheme="minorEastAsia" w:cstheme="minorEastAsia"/>
          <w:spacing w:val="-3"/>
          <w:highlight w:val="none"/>
          <w:lang w:val="en-US" w:eastAsia="zh-CN"/>
        </w:rPr>
        <w:t>/吨</w:t>
      </w:r>
      <w:r>
        <w:rPr>
          <w:rFonts w:hint="eastAsia" w:asciiTheme="minorEastAsia" w:hAnsiTheme="minorEastAsia" w:eastAsiaTheme="minorEastAsia" w:cstheme="minorEastAsia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比选报价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            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</w:t>
      </w:r>
    </w:p>
    <w:p w14:paraId="3E454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lang w:val="en-US" w:eastAsia="zh-CN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>日</w:t>
      </w:r>
    </w:p>
    <w:p w14:paraId="2316C6D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营业执照</w:t>
      </w:r>
    </w:p>
    <w:p w14:paraId="4303EED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947D71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0D4761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D5A5F4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2B6F77D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E8047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47D8ED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5F2885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6EAE21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3530E84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07C58C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A3C854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83DB42F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AFB502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22901A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FB2A4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8FA96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BC9D1EE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92FFF3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267FF9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B9372F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FC15F6D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危险废物经营许可证</w:t>
      </w:r>
    </w:p>
    <w:p w14:paraId="62994FD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41B974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3F4EC5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4CEAFA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5C53FF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E597880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84893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B55C38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AF1B5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A1671C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3DCA5E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2C247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17F22F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398129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FB068B2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3B82415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027E724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14F88F8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B43C01A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C871F4F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9D11353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9702AA1"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（四）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危险货物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运输单位营业执照</w:t>
      </w:r>
    </w:p>
    <w:p w14:paraId="67CC09A1">
      <w:pPr>
        <w:widowControl w:val="0"/>
        <w:numPr>
          <w:ilvl w:val="0"/>
          <w:numId w:val="0"/>
        </w:numPr>
        <w:ind w:left="4200" w:leftChars="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748698A">
      <w:pPr>
        <w:widowControl w:val="0"/>
        <w:numPr>
          <w:ilvl w:val="0"/>
          <w:numId w:val="0"/>
        </w:numPr>
        <w:ind w:left="4830" w:leftChars="0" w:firstLine="0" w:firstLineChars="0"/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E910EEC">
      <w:pPr>
        <w:widowControl w:val="0"/>
        <w:numPr>
          <w:ilvl w:val="0"/>
          <w:numId w:val="0"/>
        </w:numPr>
        <w:ind w:left="4830" w:leftChars="0"/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F0C4BAD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22E2E15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6BF7904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6DD2D0CC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4C52CD74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2C25FCC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081D0A1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26D93CB6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78B327D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A4B149B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3317826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B826F4C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770B9FFE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261D64B4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2841D83A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BCF982B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4BD33BD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6C3A5C32"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52CA98EB">
      <w:pPr>
        <w:widowControl w:val="0"/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危险货物道路运输经营许可证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91DD06"/>
    <w:multiLevelType w:val="singleLevel"/>
    <w:tmpl w:val="4591DD0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9A3D61"/>
    <w:rsid w:val="0EC51CF1"/>
    <w:rsid w:val="0F1008C8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B65A58"/>
    <w:rsid w:val="1C4C57FF"/>
    <w:rsid w:val="1D64697C"/>
    <w:rsid w:val="1DD969AB"/>
    <w:rsid w:val="1ED14404"/>
    <w:rsid w:val="1EF74148"/>
    <w:rsid w:val="1FA15E62"/>
    <w:rsid w:val="1FDB7383"/>
    <w:rsid w:val="1FE5303F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2CD53C0"/>
    <w:rsid w:val="43243278"/>
    <w:rsid w:val="435B56FC"/>
    <w:rsid w:val="43884ABF"/>
    <w:rsid w:val="43B86527"/>
    <w:rsid w:val="44A00219"/>
    <w:rsid w:val="45367494"/>
    <w:rsid w:val="45877724"/>
    <w:rsid w:val="467A2DE5"/>
    <w:rsid w:val="46AF2664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EFE1A98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615DAD"/>
    <w:rsid w:val="5C8C341B"/>
    <w:rsid w:val="5D2F2B1E"/>
    <w:rsid w:val="5DEF5A0F"/>
    <w:rsid w:val="5DF72B16"/>
    <w:rsid w:val="5ECA3D86"/>
    <w:rsid w:val="5F4D50E3"/>
    <w:rsid w:val="60303C60"/>
    <w:rsid w:val="60AE3C1B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1F7588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91172B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2783</Words>
  <Characters>3040</Characters>
  <Lines>16</Lines>
  <Paragraphs>4</Paragraphs>
  <TotalTime>21</TotalTime>
  <ScaleCrop>false</ScaleCrop>
  <LinksUpToDate>false</LinksUpToDate>
  <CharactersWithSpaces>3438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2025-07-24T03:15:02Z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4EA13A9AA3C049B885E8121822ABD7DE_13</vt:lpwstr>
  </property>
</Properties>
</file>