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A5EB">
      <w:pPr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有色金属分公司</w:t>
      </w:r>
    </w:p>
    <w:p w14:paraId="6F8C38DF">
      <w:pPr>
        <w:snapToGrid w:val="0"/>
        <w:spacing w:line="360" w:lineRule="auto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锌焙砂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采购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线下公开比选</w:t>
      </w:r>
    </w:p>
    <w:p w14:paraId="7F600628">
      <w:pPr>
        <w:pStyle w:val="21"/>
        <w:ind w:firstLine="5520" w:firstLineChars="2300"/>
        <w:rPr>
          <w:rFonts w:hint="eastAsia" w:cs="黑体" w:asciiTheme="minorEastAsia" w:hAnsiTheme="minorEastAsia" w:eastAsiaTheme="minorEastAsia"/>
          <w:sz w:val="24"/>
          <w:szCs w:val="24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编号：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 w:bidi="ar-SA"/>
        </w:rPr>
        <w:t>YS-GKBX-2025-HW19</w:t>
      </w:r>
    </w:p>
    <w:p w14:paraId="3582846D">
      <w:pPr>
        <w:snapToGrid w:val="0"/>
        <w:spacing w:line="360" w:lineRule="auto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各供应商：</w:t>
      </w:r>
    </w:p>
    <w:p w14:paraId="544D52C0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因生产需要,我公司需锌焙砂进行询价（报价时请充分测算，我公司在进行比价时原则上不进行第二次议价）。请于2025年7月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2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日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：</w:t>
      </w:r>
      <w:bookmarkStart w:id="7" w:name="_GoBack"/>
      <w:bookmarkEnd w:id="7"/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0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0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前将加盖公章的报价单（格式见附件一）及投标保证金（已缴纳未退保证金本次免交）凭证截图，以电子文件方式（PDF文件、jpg图片等）上传至</w:t>
      </w:r>
      <w:r>
        <w:fldChar w:fldCharType="begin"/>
      </w:r>
      <w:r>
        <w:instrText xml:space="preserve"> HYPERLINK "http://jc.sichuanhongda.com/" </w:instrText>
      </w:r>
      <w:r>
        <w:fldChar w:fldCharType="separate"/>
      </w:r>
      <w:r>
        <w:rPr>
          <w:rStyle w:val="13"/>
          <w:rFonts w:hint="eastAsia"/>
          <w:lang w:eastAsia="zh-CN"/>
        </w:rPr>
        <w:t>http://jc.sichuanhongda.com/</w:t>
      </w:r>
      <w:r>
        <w:rPr>
          <w:rStyle w:val="13"/>
          <w:rFonts w:hint="eastAsia"/>
          <w:lang w:eastAsia="zh-CN"/>
        </w:rPr>
        <w:fldChar w:fldCharType="end"/>
      </w: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。</w:t>
      </w:r>
    </w:p>
    <w:p w14:paraId="531C607D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本采购项目询价要求如下：</w:t>
      </w:r>
    </w:p>
    <w:p w14:paraId="24F12BF0">
      <w:pPr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1、质量要求：</w:t>
      </w: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val="en-US" w:eastAsia="zh-CN"/>
        </w:rPr>
        <w:t>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克/干吨，其它指标</w:t>
      </w:r>
      <w:r>
        <w:rPr>
          <w:rFonts w:hint="eastAsia" w:cs="黑体" w:asciiTheme="minorEastAsia" w:hAnsiTheme="minorEastAsia" w:eastAsiaTheme="minorEastAsia"/>
          <w:kern w:val="2"/>
          <w:sz w:val="24"/>
          <w:szCs w:val="24"/>
          <w:lang w:eastAsia="zh-CN"/>
        </w:rPr>
        <w:t>详见附件二</w:t>
      </w:r>
    </w:p>
    <w:p w14:paraId="7A2B9349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2、供货数量：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00吨，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120克/干吨计价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 w14:paraId="068B6B20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3、供货期：合同签订之日起十五天内供完（合同签订之日起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3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天内到货数量不低于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3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00吨；第5到第9天到货数量不低于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10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00吨，剩下数量在合同规定交货日内完成）。</w:t>
      </w:r>
    </w:p>
    <w:p w14:paraId="1EEA1872">
      <w:pPr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4、交货地点：四川宏达股份有限公司什邡有色金属分公司库房（四川省德阳市什邡市师古镇），到招标方库房前所有费用、货损风险由中标方承担。</w:t>
      </w:r>
    </w:p>
    <w:p w14:paraId="5FA8D389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6、发票：一票制，中标人开具全额增值税专用发票（税率13%）。</w:t>
      </w:r>
    </w:p>
    <w:p w14:paraId="1DE92EC8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7、付款方式：先货后款，需方按到货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预估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货值的8</w:t>
      </w:r>
      <w:r>
        <w:rPr>
          <w:rFonts w:cs="黑体" w:asciiTheme="minorEastAsia" w:hAnsiTheme="minorEastAsia" w:eastAsiaTheme="minorEastAsia"/>
          <w:sz w:val="24"/>
          <w:szCs w:val="24"/>
          <w:lang w:eastAsia="zh-CN"/>
        </w:rPr>
        <w:t>0%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支付货款给供方，余款在票据齐备后支付剩余货款。</w:t>
      </w:r>
    </w:p>
    <w:p w14:paraId="749BE70D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8、资质要求：具有有效的营业执照、开户许可证等。</w:t>
      </w:r>
      <w:bookmarkStart w:id="4" w:name="_Hlk201587717"/>
    </w:p>
    <w:bookmarkEnd w:id="4"/>
    <w:p w14:paraId="56C9A8EB">
      <w:pPr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9、</w:t>
      </w:r>
      <w:r>
        <w:rPr>
          <w:rFonts w:cs="黑体"/>
          <w:sz w:val="24"/>
          <w:szCs w:val="24"/>
          <w:lang w:eastAsia="zh-CN"/>
        </w:rPr>
        <w:t>本项目需缴纳投标保证金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（已缴纳未退保证金本次免交）</w:t>
      </w:r>
      <w:r>
        <w:rPr>
          <w:rFonts w:hint="eastAsia" w:cs="黑体"/>
          <w:sz w:val="24"/>
          <w:szCs w:val="24"/>
          <w:lang w:val="en-US" w:eastAsia="zh-CN"/>
        </w:rPr>
        <w:t>2</w:t>
      </w:r>
      <w:r>
        <w:rPr>
          <w:rFonts w:hint="eastAsia" w:cs="黑体"/>
          <w:sz w:val="24"/>
          <w:szCs w:val="24"/>
          <w:lang w:eastAsia="zh-CN"/>
        </w:rPr>
        <w:t>00</w:t>
      </w:r>
      <w:r>
        <w:rPr>
          <w:rFonts w:cs="黑体"/>
          <w:sz w:val="24"/>
          <w:szCs w:val="24"/>
          <w:lang w:eastAsia="zh-CN"/>
        </w:rPr>
        <w:t>0</w:t>
      </w:r>
      <w:r>
        <w:rPr>
          <w:rFonts w:hint="eastAsia" w:cs="黑体"/>
          <w:sz w:val="24"/>
          <w:szCs w:val="24"/>
          <w:lang w:eastAsia="zh-CN"/>
        </w:rPr>
        <w:t>0.00</w:t>
      </w:r>
      <w:r>
        <w:rPr>
          <w:rFonts w:cs="黑体"/>
          <w:sz w:val="24"/>
          <w:szCs w:val="24"/>
          <w:lang w:eastAsia="zh-CN"/>
        </w:rPr>
        <w:t>元（大写</w:t>
      </w:r>
      <w:r>
        <w:rPr>
          <w:rFonts w:hint="eastAsia" w:cs="黑体"/>
          <w:sz w:val="24"/>
          <w:szCs w:val="24"/>
          <w:lang w:val="en-US" w:eastAsia="zh-CN"/>
        </w:rPr>
        <w:t>贰</w:t>
      </w:r>
      <w:r>
        <w:rPr>
          <w:rFonts w:hint="eastAsia" w:cs="黑体"/>
          <w:sz w:val="24"/>
          <w:szCs w:val="24"/>
          <w:lang w:eastAsia="zh-CN"/>
        </w:rPr>
        <w:t>万元整</w:t>
      </w:r>
      <w:r>
        <w:rPr>
          <w:rFonts w:cs="黑体"/>
          <w:sz w:val="24"/>
          <w:szCs w:val="24"/>
          <w:lang w:eastAsia="zh-CN"/>
        </w:rPr>
        <w:t>）</w:t>
      </w:r>
      <w:r>
        <w:rPr>
          <w:rFonts w:hint="eastAsia" w:cs="黑体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11621CBC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单位名称：四川宏达股份有限公司</w:t>
      </w:r>
    </w:p>
    <w:p w14:paraId="7BF51835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开户银行：中国银行什邡亭江西路支行</w:t>
      </w:r>
    </w:p>
    <w:p w14:paraId="04AEA723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开户账号：1266 7841 0051</w:t>
      </w:r>
    </w:p>
    <w:p w14:paraId="3B4EA32F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转账需备注：</w:t>
      </w:r>
      <w:r>
        <w:rPr>
          <w:rFonts w:hint="eastAsia" w:cs="黑体"/>
          <w:sz w:val="24"/>
          <w:szCs w:val="24"/>
          <w:lang w:val="en-US" w:eastAsia="zh-CN"/>
        </w:rPr>
        <w:t>锌焙砂</w:t>
      </w:r>
      <w:r>
        <w:rPr>
          <w:rFonts w:hint="eastAsia" w:cs="黑体"/>
          <w:sz w:val="24"/>
          <w:szCs w:val="24"/>
          <w:lang w:eastAsia="zh-CN"/>
        </w:rPr>
        <w:t>投标保证金（可自行简写）</w:t>
      </w:r>
    </w:p>
    <w:p w14:paraId="52D72820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232B3C9A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（1）投标人在投标有效期内无正当理由撤销投标文件；</w:t>
      </w:r>
    </w:p>
    <w:p w14:paraId="4CC0A5C7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（2）投标人在收到中标通知后，</w:t>
      </w:r>
      <w:r>
        <w:rPr>
          <w:rFonts w:cs="黑体"/>
          <w:sz w:val="24"/>
          <w:szCs w:val="24"/>
          <w:lang w:eastAsia="zh-CN"/>
        </w:rPr>
        <w:t>2</w:t>
      </w:r>
      <w:r>
        <w:rPr>
          <w:rFonts w:hint="eastAsia" w:cs="黑体"/>
          <w:sz w:val="24"/>
          <w:szCs w:val="24"/>
          <w:lang w:eastAsia="zh-CN"/>
        </w:rPr>
        <w:t>日内无正当理由不与我公司订立合同，或在订立合同时向我公司提出附加条件；</w:t>
      </w:r>
    </w:p>
    <w:p w14:paraId="15A4A839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（3）发生</w:t>
      </w:r>
      <w:r>
        <w:rPr>
          <w:rFonts w:cs="黑体"/>
          <w:sz w:val="24"/>
          <w:szCs w:val="24"/>
          <w:lang w:eastAsia="zh-CN"/>
        </w:rPr>
        <w:t>围标串标等</w:t>
      </w:r>
      <w:r>
        <w:rPr>
          <w:rFonts w:hint="eastAsia" w:cs="黑体"/>
          <w:sz w:val="24"/>
          <w:szCs w:val="24"/>
          <w:lang w:eastAsia="zh-CN"/>
        </w:rPr>
        <w:t>我公司认为其他可以不予退还投标保证金的情形。</w:t>
      </w:r>
    </w:p>
    <w:p w14:paraId="5506EE2F">
      <w:pPr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10、</w:t>
      </w:r>
      <w:r>
        <w:rPr>
          <w:rFonts w:cs="黑体"/>
          <w:sz w:val="24"/>
          <w:szCs w:val="24"/>
          <w:lang w:eastAsia="zh-CN"/>
        </w:rPr>
        <w:t>本项目需缴纳</w:t>
      </w:r>
      <w:r>
        <w:rPr>
          <w:rFonts w:hint="eastAsia" w:cs="黑体"/>
          <w:sz w:val="24"/>
          <w:szCs w:val="24"/>
          <w:lang w:eastAsia="zh-CN"/>
        </w:rPr>
        <w:t>履约保证金</w:t>
      </w:r>
      <w:r>
        <w:rPr>
          <w:rFonts w:hint="eastAsia" w:cs="黑体"/>
          <w:sz w:val="24"/>
          <w:szCs w:val="24"/>
          <w:lang w:val="en-US" w:eastAsia="zh-CN"/>
        </w:rPr>
        <w:t>20</w:t>
      </w:r>
      <w:r>
        <w:rPr>
          <w:rFonts w:hint="eastAsia" w:cs="黑体"/>
          <w:sz w:val="24"/>
          <w:szCs w:val="24"/>
          <w:lang w:eastAsia="zh-CN"/>
        </w:rPr>
        <w:t>0000.00（大写：</w:t>
      </w:r>
      <w:r>
        <w:rPr>
          <w:rFonts w:hint="eastAsia" w:cs="黑体"/>
          <w:sz w:val="24"/>
          <w:szCs w:val="24"/>
          <w:lang w:val="en-US" w:eastAsia="zh-CN"/>
        </w:rPr>
        <w:t>贰拾</w:t>
      </w:r>
      <w:r>
        <w:rPr>
          <w:rFonts w:hint="eastAsia" w:cs="黑体"/>
          <w:sz w:val="24"/>
          <w:szCs w:val="24"/>
          <w:lang w:eastAsia="zh-CN"/>
        </w:rPr>
        <w:t>万元整），</w:t>
      </w:r>
      <w:r>
        <w:rPr>
          <w:rFonts w:cs="黑体"/>
          <w:sz w:val="24"/>
          <w:szCs w:val="24"/>
          <w:lang w:eastAsia="zh-CN"/>
        </w:rPr>
        <w:t>按照合同签订时要求的</w:t>
      </w:r>
      <w:bookmarkStart w:id="5" w:name="OLE_LINK5"/>
      <w:r>
        <w:rPr>
          <w:rFonts w:cs="黑体"/>
          <w:sz w:val="24"/>
          <w:szCs w:val="24"/>
          <w:lang w:eastAsia="zh-CN"/>
        </w:rPr>
        <w:t>合同履约金额</w:t>
      </w:r>
      <w:r>
        <w:rPr>
          <w:rFonts w:hint="eastAsia" w:cs="黑体"/>
          <w:sz w:val="24"/>
          <w:szCs w:val="24"/>
          <w:lang w:eastAsia="zh-CN"/>
        </w:rPr>
        <w:t>从合同</w:t>
      </w:r>
      <w:r>
        <w:rPr>
          <w:rFonts w:cs="黑体"/>
          <w:sz w:val="24"/>
          <w:szCs w:val="24"/>
          <w:lang w:eastAsia="zh-CN"/>
        </w:rPr>
        <w:t>签订之日起</w:t>
      </w:r>
      <w:r>
        <w:rPr>
          <w:rFonts w:hint="eastAsia" w:cs="黑体"/>
          <w:sz w:val="24"/>
          <w:szCs w:val="24"/>
          <w:lang w:eastAsia="zh-CN"/>
        </w:rPr>
        <w:t>2天内</w:t>
      </w:r>
      <w:r>
        <w:rPr>
          <w:rFonts w:cs="黑体"/>
          <w:sz w:val="24"/>
          <w:szCs w:val="24"/>
          <w:lang w:eastAsia="zh-CN"/>
        </w:rPr>
        <w:t>以单位名义</w:t>
      </w:r>
      <w:bookmarkEnd w:id="5"/>
      <w:r>
        <w:rPr>
          <w:rFonts w:cs="黑体"/>
          <w:sz w:val="24"/>
          <w:szCs w:val="24"/>
          <w:lang w:eastAsia="zh-CN"/>
        </w:rPr>
        <w:t>从对公账户转账至以下账户</w:t>
      </w:r>
      <w:r>
        <w:rPr>
          <w:rFonts w:hint="eastAsia" w:cs="黑体"/>
          <w:sz w:val="24"/>
          <w:szCs w:val="24"/>
          <w:lang w:eastAsia="zh-CN"/>
        </w:rPr>
        <w:t>：</w:t>
      </w:r>
    </w:p>
    <w:p w14:paraId="05EC68DB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单位名称：四川宏达股份有限公司</w:t>
      </w:r>
    </w:p>
    <w:p w14:paraId="597F3CA0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开户银行：中国银行什邡亭江西路支行</w:t>
      </w:r>
    </w:p>
    <w:p w14:paraId="0145A045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开户账号：1266 7841 0051</w:t>
      </w:r>
    </w:p>
    <w:p w14:paraId="672217E2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转账需备注：</w:t>
      </w:r>
      <w:r>
        <w:rPr>
          <w:rFonts w:hint="eastAsia" w:cs="黑体"/>
          <w:sz w:val="24"/>
          <w:szCs w:val="24"/>
          <w:lang w:val="en-US" w:eastAsia="zh-CN"/>
        </w:rPr>
        <w:t>锌焙砂</w:t>
      </w:r>
      <w:r>
        <w:rPr>
          <w:rFonts w:hint="eastAsia" w:cs="黑体"/>
          <w:sz w:val="24"/>
          <w:szCs w:val="24"/>
          <w:lang w:eastAsia="zh-CN"/>
        </w:rPr>
        <w:t>履约保证金（可自行简写）</w:t>
      </w:r>
    </w:p>
    <w:p w14:paraId="6F7DDB73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cs="黑体"/>
          <w:sz w:val="24"/>
          <w:szCs w:val="24"/>
          <w:lang w:eastAsia="zh-CN"/>
        </w:rPr>
        <w:t>合同履约金额</w:t>
      </w:r>
      <w:r>
        <w:rPr>
          <w:rFonts w:hint="eastAsia" w:cs="黑体"/>
          <w:sz w:val="24"/>
          <w:szCs w:val="24"/>
          <w:lang w:eastAsia="zh-CN"/>
        </w:rPr>
        <w:t>应在合同</w:t>
      </w:r>
      <w:r>
        <w:rPr>
          <w:rFonts w:cs="黑体"/>
          <w:sz w:val="24"/>
          <w:szCs w:val="24"/>
          <w:lang w:eastAsia="zh-CN"/>
        </w:rPr>
        <w:t>签订之日起</w:t>
      </w:r>
      <w:r>
        <w:rPr>
          <w:rFonts w:hint="eastAsia" w:cs="黑体"/>
          <w:sz w:val="24"/>
          <w:szCs w:val="24"/>
          <w:lang w:eastAsia="zh-CN"/>
        </w:rPr>
        <w:t>2天内到账，若无正当理由履约金未缴纳到账，将没收投标保证金。</w:t>
      </w:r>
    </w:p>
    <w:p w14:paraId="1CC2B916">
      <w:pPr>
        <w:autoSpaceDE/>
        <w:autoSpaceDN/>
        <w:snapToGrid w:val="0"/>
        <w:spacing w:line="360" w:lineRule="auto"/>
        <w:ind w:firstLine="480" w:firstLineChars="200"/>
        <w:rPr>
          <w:rFonts w:cs="黑体"/>
          <w:sz w:val="24"/>
          <w:szCs w:val="24"/>
          <w:lang w:eastAsia="zh-CN"/>
        </w:rPr>
      </w:pPr>
      <w:r>
        <w:rPr>
          <w:rFonts w:hint="eastAsia" w:cs="黑体"/>
          <w:sz w:val="24"/>
          <w:szCs w:val="24"/>
          <w:lang w:eastAsia="zh-CN"/>
        </w:rPr>
        <w:t>供方全面履行完本合同并结算后，需方于十五个工作日内退还履约保证金（不计利息）。</w:t>
      </w:r>
    </w:p>
    <w:p w14:paraId="68D65FE2">
      <w:pPr>
        <w:autoSpaceDE/>
        <w:autoSpaceDN/>
        <w:snapToGrid w:val="0"/>
        <w:spacing w:line="360" w:lineRule="auto"/>
        <w:ind w:firstLine="480" w:firstLineChars="20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eastAsia="zh-CN"/>
        </w:rPr>
        <w:t>比选时不保证最低价中选，但充分注意合理的最低报价。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报价前，报价方可自愿前来我公司进行实地考查、技术交流或咨询。项目地点：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四川宏达股份有限公司什邡有色金属分公司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。</w:t>
      </w:r>
    </w:p>
    <w:p w14:paraId="6881F30D">
      <w:pPr>
        <w:snapToGrid w:val="0"/>
        <w:spacing w:line="360" w:lineRule="auto"/>
        <w:ind w:firstLine="480" w:firstLineChars="200"/>
        <w:rPr>
          <w:rFonts w:hint="default" w:cs="黑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联系人：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刘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先生136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98199360</w:t>
      </w:r>
    </w:p>
    <w:p w14:paraId="51829595">
      <w:pPr>
        <w:snapToGrid w:val="0"/>
        <w:spacing w:line="360" w:lineRule="auto"/>
        <w:ind w:right="96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</w:p>
    <w:p w14:paraId="13C03747">
      <w:pPr>
        <w:snapToGrid w:val="0"/>
        <w:spacing w:line="360" w:lineRule="auto"/>
        <w:ind w:right="960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</w:p>
    <w:p w14:paraId="46E0833D">
      <w:pPr>
        <w:snapToGrid w:val="0"/>
        <w:spacing w:line="360" w:lineRule="auto"/>
        <w:ind w:firstLine="480" w:firstLineChars="200"/>
        <w:jc w:val="right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四川宏达股份有限公司</w:t>
      </w:r>
    </w:p>
    <w:p w14:paraId="3F2997C8">
      <w:pPr>
        <w:wordWrap w:val="0"/>
        <w:snapToGrid w:val="0"/>
        <w:spacing w:line="360" w:lineRule="auto"/>
        <w:ind w:firstLine="480" w:firstLineChars="200"/>
        <w:jc w:val="right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 xml:space="preserve">什邡有色金属分公司 </w:t>
      </w:r>
    </w:p>
    <w:p w14:paraId="792EDBCB">
      <w:pPr>
        <w:wordWrap w:val="0"/>
        <w:snapToGrid w:val="0"/>
        <w:spacing w:line="360" w:lineRule="auto"/>
        <w:jc w:val="right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2025年7月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22</w:t>
      </w: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>日</w:t>
      </w:r>
      <w:bookmarkEnd w:id="0"/>
      <w:bookmarkEnd w:id="1"/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 xml:space="preserve"> </w:t>
      </w:r>
      <w:bookmarkEnd w:id="2"/>
      <w:bookmarkEnd w:id="3"/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t xml:space="preserve">  </w:t>
      </w:r>
    </w:p>
    <w:p w14:paraId="6D41EF3E">
      <w:pPr>
        <w:widowControl/>
        <w:autoSpaceDE/>
        <w:autoSpaceDN/>
        <w:snapToGrid w:val="0"/>
        <w:spacing w:line="360" w:lineRule="auto"/>
        <w:rPr>
          <w:rFonts w:cs="黑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eastAsia="zh-CN"/>
        </w:rPr>
        <w:br w:type="page"/>
      </w:r>
    </w:p>
    <w:p w14:paraId="09B7B158">
      <w:pPr>
        <w:pStyle w:val="4"/>
        <w:snapToGrid w:val="0"/>
        <w:spacing w:after="0" w:line="360" w:lineRule="auto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附件一</w:t>
      </w:r>
    </w:p>
    <w:p w14:paraId="0A67B239">
      <w:pPr>
        <w:ind w:firstLine="3190" w:firstLineChars="993"/>
        <w:jc w:val="both"/>
        <w:rPr>
          <w:rFonts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报 价 单（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锌焙砂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</w:t>
      </w:r>
    </w:p>
    <w:p w14:paraId="472CE3E9">
      <w:pPr>
        <w:ind w:firstLine="560"/>
        <w:jc w:val="center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只报加工费）</w:t>
      </w:r>
    </w:p>
    <w:p w14:paraId="20304C1F">
      <w:pPr>
        <w:spacing w:line="30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四川宏达股份有限公司：</w:t>
      </w:r>
    </w:p>
    <w:p w14:paraId="77E4F901">
      <w:pPr>
        <w:widowControl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知悉贵司锌焙砂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公开比选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，现报价如下：</w:t>
      </w:r>
    </w:p>
    <w:p w14:paraId="2631A0F6">
      <w:pPr>
        <w:widowControl/>
        <w:numPr>
          <w:ilvl w:val="0"/>
          <w:numId w:val="1"/>
        </w:numPr>
        <w:autoSpaceDE/>
        <w:autoSpaceDN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质量标准：公告附件二（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结算办法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 w14:paraId="65AC6690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锌焙砂含锌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到贵司含税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价按：M=P－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>加工费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－（P -15000）×20%（元/金属吨）计算，注：P代表202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月1日至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日上海有色网1#锌锭现货均价的算术平均价，M代表到需方工厂金吨结算的含税价格。</w:t>
      </w:r>
    </w:p>
    <w:p w14:paraId="07619167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锌焙砂含银：当银含量Ag≥120克/干吨时，以2025年8月1日至8月31日上海有色网1#银现货均价的算术平均价作为基准价，含银结算价格为：基准价*10%；当Ag&lt;120g/t时，不计价，且加工费扣减基数上浮500元/锌金属吨。</w:t>
      </w:r>
    </w:p>
    <w:p w14:paraId="4DEF67D3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数量 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00吨。</w:t>
      </w:r>
    </w:p>
    <w:p w14:paraId="779489D8">
      <w:pPr>
        <w:widowControl/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上述报价为我司送到贵司的到厂含税价（全额增值税发票一票制结算），运输由我司组织，运输费用由我司承担。</w:t>
      </w:r>
    </w:p>
    <w:p w14:paraId="18791EE1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79A25781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    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</w:t>
      </w:r>
    </w:p>
    <w:p w14:paraId="065FAAE1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F2B1AB6">
      <w:pPr>
        <w:ind w:firstLine="3220" w:firstLineChars="115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 公司（加盖公章）</w:t>
      </w:r>
    </w:p>
    <w:p w14:paraId="53AC6898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                               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</w:t>
      </w:r>
    </w:p>
    <w:p w14:paraId="5117B5A8">
      <w:pPr>
        <w:ind w:left="1301" w:leftChars="267" w:hanging="714" w:hangingChars="255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D090EBC">
      <w:pPr>
        <w:snapToGrid w:val="0"/>
        <w:spacing w:line="480" w:lineRule="auto"/>
        <w:jc w:val="both"/>
        <w:rPr>
          <w:rFonts w:hint="default" w:cs="黑体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 w:eastAsiaTheme="minorEastAsia"/>
          <w:bCs/>
          <w:sz w:val="24"/>
          <w:szCs w:val="24"/>
          <w:lang w:val="en-US" w:eastAsia="zh-CN"/>
        </w:rPr>
        <w:t>附件二：</w:t>
      </w: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618"/>
        <w:gridCol w:w="5701"/>
        <w:gridCol w:w="1157"/>
      </w:tblGrid>
      <w:tr w14:paraId="5BC2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1" w:type="dxa"/>
            <w:vAlign w:val="center"/>
          </w:tcPr>
          <w:p w14:paraId="213081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原料</w:t>
            </w:r>
          </w:p>
          <w:p w14:paraId="44124B7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618" w:type="dxa"/>
            <w:vAlign w:val="center"/>
          </w:tcPr>
          <w:p w14:paraId="2A6A771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质量指标</w:t>
            </w:r>
          </w:p>
        </w:tc>
        <w:tc>
          <w:tcPr>
            <w:tcW w:w="5701" w:type="dxa"/>
            <w:vAlign w:val="center"/>
          </w:tcPr>
          <w:p w14:paraId="42BCE96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结算办法</w:t>
            </w:r>
          </w:p>
        </w:tc>
        <w:tc>
          <w:tcPr>
            <w:tcW w:w="1157" w:type="dxa"/>
            <w:vAlign w:val="center"/>
          </w:tcPr>
          <w:p w14:paraId="04F8AD5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检测依据</w:t>
            </w:r>
          </w:p>
        </w:tc>
      </w:tr>
      <w:tr w14:paraId="7E9B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61" w:type="dxa"/>
            <w:vMerge w:val="restart"/>
            <w:vAlign w:val="center"/>
          </w:tcPr>
          <w:p w14:paraId="12E13AAF"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bookmarkStart w:id="6" w:name="_Toc29323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锌</w:t>
            </w:r>
          </w:p>
          <w:p w14:paraId="60CD27DD"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焙</w:t>
            </w:r>
          </w:p>
          <w:p w14:paraId="68600F51"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砂</w:t>
            </w:r>
            <w:bookmarkEnd w:id="6"/>
          </w:p>
        </w:tc>
        <w:tc>
          <w:tcPr>
            <w:tcW w:w="1618" w:type="dxa"/>
            <w:shd w:val="clear" w:color="auto" w:fill="FFFFFF"/>
            <w:vAlign w:val="center"/>
          </w:tcPr>
          <w:p w14:paraId="375A84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≥5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67EB8CB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＜5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.0%，每降低0.1%，扣6元/金吨。</w:t>
            </w:r>
          </w:p>
        </w:tc>
        <w:tc>
          <w:tcPr>
            <w:tcW w:w="1157" w:type="dxa"/>
            <w:vMerge w:val="restart"/>
            <w:vAlign w:val="center"/>
          </w:tcPr>
          <w:p w14:paraId="17D843E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YS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T1149-2016</w:t>
            </w:r>
          </w:p>
        </w:tc>
      </w:tr>
      <w:tr w14:paraId="7B16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21BFA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5D6BA1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≥5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71E8D40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＜50%，每降低0.1%，扣6元/金吨；</w:t>
            </w:r>
          </w:p>
        </w:tc>
        <w:tc>
          <w:tcPr>
            <w:tcW w:w="1157" w:type="dxa"/>
            <w:vMerge w:val="continue"/>
            <w:vAlign w:val="center"/>
          </w:tcPr>
          <w:p w14:paraId="5FFC798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4DA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DC8C5D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33F575B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78B77CE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＜45%，以50.0%为基准，每降低0.1%，扣10元/金吨；</w:t>
            </w:r>
          </w:p>
        </w:tc>
        <w:tc>
          <w:tcPr>
            <w:tcW w:w="1157" w:type="dxa"/>
            <w:vMerge w:val="continue"/>
            <w:vAlign w:val="center"/>
          </w:tcPr>
          <w:p w14:paraId="39D473C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A49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E7410E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28FC65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29843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Zn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＜40.0%，以50.0%为基准，每降低0.1%，扣(合同价/101)元/金吨（价格扣到零为止）。</w:t>
            </w:r>
          </w:p>
        </w:tc>
        <w:tc>
          <w:tcPr>
            <w:tcW w:w="1157" w:type="dxa"/>
            <w:vMerge w:val="continue"/>
            <w:vAlign w:val="center"/>
          </w:tcPr>
          <w:p w14:paraId="5DC51C8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34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E11CF1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29F989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6B59446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.0%，每增加0.1%，扣5元/金吨；</w:t>
            </w:r>
          </w:p>
        </w:tc>
        <w:tc>
          <w:tcPr>
            <w:tcW w:w="1157" w:type="dxa"/>
            <w:vMerge w:val="continue"/>
            <w:vAlign w:val="center"/>
          </w:tcPr>
          <w:p w14:paraId="23D565D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77E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AFF1B9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1DC34A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341A19B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.0%为基准，每增加0.1%，扣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元/金吨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57" w:type="dxa"/>
            <w:vMerge w:val="continue"/>
            <w:vAlign w:val="center"/>
          </w:tcPr>
          <w:p w14:paraId="55437FC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AB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61" w:type="dxa"/>
            <w:vMerge w:val="continue"/>
            <w:vAlign w:val="center"/>
          </w:tcPr>
          <w:p w14:paraId="4B8DCD5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3864B5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10043EA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.0%，以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.0%为基准，每增加0.1%，扣(合同价/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1)元/金吨（价格扣到零为止）。</w:t>
            </w:r>
          </w:p>
        </w:tc>
        <w:tc>
          <w:tcPr>
            <w:tcW w:w="1157" w:type="dxa"/>
            <w:vMerge w:val="continue"/>
            <w:vAlign w:val="center"/>
          </w:tcPr>
          <w:p w14:paraId="338E879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071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3CE24D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0A6903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Fe≤10.0%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1C8240E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Fe＞10.0%，每增加0.1%，扣4元/金吨；</w:t>
            </w:r>
          </w:p>
        </w:tc>
        <w:tc>
          <w:tcPr>
            <w:tcW w:w="1157" w:type="dxa"/>
            <w:vMerge w:val="continue"/>
            <w:vAlign w:val="center"/>
          </w:tcPr>
          <w:p w14:paraId="70D44B5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2E3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F5218D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6D579C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0321AA5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Fe＞15.0%，以10.0%为基准，每增加0.1%，扣(合同价/51)元/金吨（价格扣到零为止）。</w:t>
            </w:r>
          </w:p>
        </w:tc>
        <w:tc>
          <w:tcPr>
            <w:tcW w:w="1157" w:type="dxa"/>
            <w:vMerge w:val="continue"/>
            <w:vAlign w:val="center"/>
          </w:tcPr>
          <w:p w14:paraId="6AEAA78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D8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02D54F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1D05F6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3C5D394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%，每增加0.1%，扣5元/金吨；</w:t>
            </w:r>
          </w:p>
        </w:tc>
        <w:tc>
          <w:tcPr>
            <w:tcW w:w="1157" w:type="dxa"/>
            <w:vMerge w:val="restart"/>
            <w:vAlign w:val="center"/>
          </w:tcPr>
          <w:p w14:paraId="55218A0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Q/HD3.05-2023</w:t>
            </w:r>
          </w:p>
        </w:tc>
      </w:tr>
      <w:tr w14:paraId="0FD9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A69324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421EBB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6F2C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%，以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%为基准，每增加0.1%，扣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元/金吨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57" w:type="dxa"/>
            <w:vMerge w:val="continue"/>
            <w:vAlign w:val="center"/>
          </w:tcPr>
          <w:p w14:paraId="1923CD4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4F1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451AD5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44A09E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0966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退货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7" w:type="dxa"/>
            <w:vMerge w:val="continue"/>
            <w:vAlign w:val="center"/>
          </w:tcPr>
          <w:p w14:paraId="6EDB6A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232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061" w:type="dxa"/>
            <w:vMerge w:val="continue"/>
            <w:vAlign w:val="center"/>
          </w:tcPr>
          <w:p w14:paraId="7DC8C5B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7A1A4B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0.05%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08BD511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F＞0.05%，每增加0.01%，扣10.0元/金吨；</w:t>
            </w:r>
          </w:p>
        </w:tc>
        <w:tc>
          <w:tcPr>
            <w:tcW w:w="1157" w:type="dxa"/>
            <w:vMerge w:val="restart"/>
            <w:vAlign w:val="center"/>
          </w:tcPr>
          <w:p w14:paraId="2B5593B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YS/T73-2011</w:t>
            </w:r>
          </w:p>
        </w:tc>
      </w:tr>
      <w:tr w14:paraId="2E9C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061" w:type="dxa"/>
            <w:vMerge w:val="continue"/>
            <w:vAlign w:val="center"/>
          </w:tcPr>
          <w:p w14:paraId="0F08671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525E48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45B71ED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F＞0.10%，以0.05%为基准,每增加0.01%，扣20.0元/金吨；</w:t>
            </w:r>
          </w:p>
        </w:tc>
        <w:tc>
          <w:tcPr>
            <w:tcW w:w="1157" w:type="dxa"/>
            <w:vMerge w:val="continue"/>
            <w:vAlign w:val="center"/>
          </w:tcPr>
          <w:p w14:paraId="53C6365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4BA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673C4F3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6D391B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11EF76E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F＞0.15%，以0.05%为基准,每增加0.01%，扣50.0元/金吨。</w:t>
            </w:r>
          </w:p>
        </w:tc>
        <w:tc>
          <w:tcPr>
            <w:tcW w:w="1157" w:type="dxa"/>
            <w:vMerge w:val="continue"/>
            <w:vAlign w:val="center"/>
          </w:tcPr>
          <w:p w14:paraId="7152483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6AF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2F89CF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vAlign w:val="center"/>
          </w:tcPr>
          <w:p w14:paraId="249FA1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0.10%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60F1BE1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Cl＞0.10%，每增加0.01%，扣10.0元/金吨；</w:t>
            </w:r>
          </w:p>
        </w:tc>
        <w:tc>
          <w:tcPr>
            <w:tcW w:w="1157" w:type="dxa"/>
            <w:vMerge w:val="continue"/>
            <w:vAlign w:val="center"/>
          </w:tcPr>
          <w:p w14:paraId="47AFDA6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CE0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3E75EB0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3F51E8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139CF3B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Cl＞0.15%，以0.1%为基准,每增加0.01%，扣20.0元/金吨；</w:t>
            </w:r>
          </w:p>
        </w:tc>
        <w:tc>
          <w:tcPr>
            <w:tcW w:w="1157" w:type="dxa"/>
            <w:vMerge w:val="continue"/>
            <w:vAlign w:val="center"/>
          </w:tcPr>
          <w:p w14:paraId="5E25F0B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5B0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2858C43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vMerge w:val="continue"/>
            <w:shd w:val="clear" w:color="auto" w:fill="FFFFFF"/>
            <w:vAlign w:val="center"/>
          </w:tcPr>
          <w:p w14:paraId="5BE5800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01" w:type="dxa"/>
            <w:shd w:val="clear" w:color="auto" w:fill="FFFFFF"/>
            <w:vAlign w:val="center"/>
          </w:tcPr>
          <w:p w14:paraId="64026E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Cl＞0.20%，以0.1%为基准,每增加0.01%，扣50.0元/金吨。</w:t>
            </w:r>
          </w:p>
        </w:tc>
        <w:tc>
          <w:tcPr>
            <w:tcW w:w="1157" w:type="dxa"/>
            <w:vMerge w:val="continue"/>
            <w:vAlign w:val="center"/>
          </w:tcPr>
          <w:p w14:paraId="4876493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A6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61" w:type="dxa"/>
            <w:vMerge w:val="continue"/>
            <w:vAlign w:val="center"/>
          </w:tcPr>
          <w:p w14:paraId="55EB8C4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8" w:type="dxa"/>
            <w:shd w:val="clear" w:color="auto" w:fill="FFFFFF"/>
            <w:vAlign w:val="center"/>
          </w:tcPr>
          <w:p w14:paraId="4212E5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0目筛，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筛上物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0%</w:t>
            </w:r>
          </w:p>
        </w:tc>
        <w:tc>
          <w:tcPr>
            <w:tcW w:w="5701" w:type="dxa"/>
            <w:shd w:val="clear" w:color="auto" w:fill="FFFFFF"/>
            <w:vAlign w:val="center"/>
          </w:tcPr>
          <w:p w14:paraId="11BBC1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细度＞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0%，每增加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1%，扣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元/金吨。</w:t>
            </w:r>
          </w:p>
        </w:tc>
        <w:tc>
          <w:tcPr>
            <w:tcW w:w="1157" w:type="dxa"/>
            <w:vAlign w:val="center"/>
          </w:tcPr>
          <w:p w14:paraId="44A5DBA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目标准筛</w:t>
            </w:r>
          </w:p>
        </w:tc>
      </w:tr>
    </w:tbl>
    <w:p w14:paraId="0C0C4ECF">
      <w:pPr>
        <w:snapToGrid w:val="0"/>
        <w:spacing w:line="480" w:lineRule="auto"/>
        <w:ind w:firstLine="2916" w:firstLineChars="1215"/>
        <w:jc w:val="left"/>
        <w:rPr>
          <w:rFonts w:hint="default" w:cs="黑体" w:asciiTheme="minorEastAsia" w:hAnsiTheme="minorEastAsia" w:eastAsiaTheme="minorEastAsia"/>
          <w:bCs/>
          <w:sz w:val="24"/>
          <w:szCs w:val="24"/>
          <w:lang w:val="en-US" w:eastAsia="zh-CN"/>
        </w:rPr>
      </w:pPr>
    </w:p>
    <w:p w14:paraId="1F87189E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6AEEDC1B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1CC82DEE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4696D6B5">
      <w:pPr>
        <w:snapToGrid w:val="0"/>
        <w:spacing w:line="480" w:lineRule="auto"/>
        <w:ind w:firstLine="2916" w:firstLineChars="1215"/>
        <w:jc w:val="right"/>
        <w:rPr>
          <w:rFonts w:cs="黑体" w:asciiTheme="minorEastAsia" w:hAnsiTheme="minorEastAsia" w:eastAsiaTheme="minorEastAsia"/>
          <w:bCs/>
          <w:sz w:val="24"/>
          <w:szCs w:val="24"/>
          <w:lang w:eastAsia="zh-CN"/>
        </w:rPr>
      </w:pPr>
    </w:p>
    <w:p w14:paraId="06EC4BFF">
      <w:pPr>
        <w:widowControl/>
        <w:shd w:val="clear" w:color="auto" w:fill="FFFFFF"/>
        <w:tabs>
          <w:tab w:val="left" w:pos="5529"/>
          <w:tab w:val="left" w:pos="5670"/>
          <w:tab w:val="left" w:pos="5812"/>
        </w:tabs>
        <w:spacing w:line="360" w:lineRule="auto"/>
        <w:rPr>
          <w:sz w:val="24"/>
          <w:szCs w:val="24"/>
          <w:lang w:eastAsia="zh-CN"/>
        </w:rPr>
      </w:pPr>
    </w:p>
    <w:sectPr>
      <w:pgSz w:w="11906" w:h="16838"/>
      <w:pgMar w:top="1440" w:right="1526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B8D2B"/>
    <w:multiLevelType w:val="singleLevel"/>
    <w:tmpl w:val="A1DB8D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87308"/>
    <w:rsid w:val="00097445"/>
    <w:rsid w:val="000C5A6E"/>
    <w:rsid w:val="000C72BC"/>
    <w:rsid w:val="000F26EA"/>
    <w:rsid w:val="0011014C"/>
    <w:rsid w:val="00156250"/>
    <w:rsid w:val="00171FB0"/>
    <w:rsid w:val="00175B79"/>
    <w:rsid w:val="00187085"/>
    <w:rsid w:val="001A1AA1"/>
    <w:rsid w:val="001D4955"/>
    <w:rsid w:val="001D7E58"/>
    <w:rsid w:val="001F683E"/>
    <w:rsid w:val="00204ACC"/>
    <w:rsid w:val="00233522"/>
    <w:rsid w:val="00273117"/>
    <w:rsid w:val="002830A9"/>
    <w:rsid w:val="00291761"/>
    <w:rsid w:val="002A174C"/>
    <w:rsid w:val="002A67E3"/>
    <w:rsid w:val="002A6C7D"/>
    <w:rsid w:val="0030571B"/>
    <w:rsid w:val="0035074D"/>
    <w:rsid w:val="00351499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B542E"/>
    <w:rsid w:val="004C6CDB"/>
    <w:rsid w:val="004F05FF"/>
    <w:rsid w:val="005135A0"/>
    <w:rsid w:val="00520ED3"/>
    <w:rsid w:val="00571933"/>
    <w:rsid w:val="00574979"/>
    <w:rsid w:val="00581055"/>
    <w:rsid w:val="005A5638"/>
    <w:rsid w:val="005D2757"/>
    <w:rsid w:val="00601E94"/>
    <w:rsid w:val="006134E9"/>
    <w:rsid w:val="00633384"/>
    <w:rsid w:val="00641FA2"/>
    <w:rsid w:val="006420A1"/>
    <w:rsid w:val="00642DF0"/>
    <w:rsid w:val="0064636B"/>
    <w:rsid w:val="006669AF"/>
    <w:rsid w:val="006669CB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556B"/>
    <w:rsid w:val="008975D9"/>
    <w:rsid w:val="008A1BA2"/>
    <w:rsid w:val="008A7836"/>
    <w:rsid w:val="008F7B6E"/>
    <w:rsid w:val="0091118A"/>
    <w:rsid w:val="0091344F"/>
    <w:rsid w:val="00961125"/>
    <w:rsid w:val="00966ACD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62139"/>
    <w:rsid w:val="00B7117D"/>
    <w:rsid w:val="00B979C2"/>
    <w:rsid w:val="00BD12E5"/>
    <w:rsid w:val="00BD57B9"/>
    <w:rsid w:val="00BE2866"/>
    <w:rsid w:val="00BF16F4"/>
    <w:rsid w:val="00C04DE2"/>
    <w:rsid w:val="00C37462"/>
    <w:rsid w:val="00C6333C"/>
    <w:rsid w:val="00C63615"/>
    <w:rsid w:val="00C73639"/>
    <w:rsid w:val="00C94C7F"/>
    <w:rsid w:val="00CE6814"/>
    <w:rsid w:val="00CF4A6F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7DE4"/>
    <w:rsid w:val="00E96016"/>
    <w:rsid w:val="00EB340A"/>
    <w:rsid w:val="00EC5A51"/>
    <w:rsid w:val="00F215EB"/>
    <w:rsid w:val="00F4332E"/>
    <w:rsid w:val="00F62321"/>
    <w:rsid w:val="00FA0D9F"/>
    <w:rsid w:val="00FB04F7"/>
    <w:rsid w:val="00FB18F3"/>
    <w:rsid w:val="00FD012D"/>
    <w:rsid w:val="00FE3C5B"/>
    <w:rsid w:val="00FE6BB3"/>
    <w:rsid w:val="00FF4642"/>
    <w:rsid w:val="00FF5524"/>
    <w:rsid w:val="02464439"/>
    <w:rsid w:val="04405C72"/>
    <w:rsid w:val="0AB56E5C"/>
    <w:rsid w:val="12144468"/>
    <w:rsid w:val="16A871AC"/>
    <w:rsid w:val="1AA504F5"/>
    <w:rsid w:val="1C936564"/>
    <w:rsid w:val="1D9F104A"/>
    <w:rsid w:val="1FCF6BD7"/>
    <w:rsid w:val="20BD1CE6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5D9C0136"/>
    <w:rsid w:val="61030C17"/>
    <w:rsid w:val="65010E95"/>
    <w:rsid w:val="66C00A1F"/>
    <w:rsid w:val="68834D32"/>
    <w:rsid w:val="6F91290B"/>
    <w:rsid w:val="70E52EEE"/>
    <w:rsid w:val="72454B56"/>
    <w:rsid w:val="74CD288F"/>
    <w:rsid w:val="75A43018"/>
    <w:rsid w:val="7EA5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rFonts w:eastAsia="仿宋_GB2312"/>
      <w:sz w:val="24"/>
    </w:rPr>
  </w:style>
  <w:style w:type="paragraph" w:styleId="3">
    <w:name w:val="heading 2"/>
    <w:basedOn w:val="1"/>
    <w:next w:val="1"/>
    <w:qFormat/>
    <w:uiPriority w:val="99"/>
    <w:pPr>
      <w:keepNext/>
      <w:jc w:val="center"/>
      <w:outlineLvl w:val="1"/>
    </w:pPr>
    <w:rPr>
      <w:rFonts w:eastAsia="仿宋_GB2312"/>
      <w:sz w:val="24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kinsoku w:val="0"/>
      <w:adjustRightInd w:val="0"/>
      <w:spacing w:after="120"/>
      <w:textAlignment w:val="baseline"/>
    </w:pPr>
    <w:rPr>
      <w:sz w:val="21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1"/>
    <w:link w:val="5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18"/>
    <w:basedOn w:val="1"/>
    <w:qFormat/>
    <w:uiPriority w:val="0"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character" w:customStyle="1" w:styleId="20">
    <w:name w:val="页脚 字符"/>
    <w:basedOn w:val="11"/>
    <w:link w:val="6"/>
    <w:uiPriority w:val="99"/>
    <w:rPr>
      <w:rFonts w:ascii="宋体" w:hAnsi="宋体" w:eastAsia="宋体" w:cs="宋体"/>
      <w:sz w:val="18"/>
      <w:szCs w:val="18"/>
      <w:lang w:eastAsia="en-US"/>
    </w:rPr>
  </w:style>
  <w:style w:type="paragraph" w:customStyle="1" w:styleId="21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1889</Words>
  <Characters>2329</Characters>
  <Lines>17</Lines>
  <Paragraphs>4</Paragraphs>
  <TotalTime>8</TotalTime>
  <ScaleCrop>false</ScaleCrop>
  <LinksUpToDate>false</LinksUpToDate>
  <CharactersWithSpaces>2443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2025-07-09T09:17:00Z</dcterms:created>
  <dc:creator>张志伟</dc:creator>
  <cp:lastModifiedBy>Xuuuy</cp:lastModifiedBy>
  <dcterms:modified xsi:type="dcterms:W3CDTF">2025-07-24T00:42:44Z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99BAE2B7925A491FA437DF7A35651520_13</vt:lpwstr>
  </property>
  <property fmtid="{D5CDD505-2E9C-101B-9397-08002B2CF9AE}" pid="4" name="KSOTemplateDocerSaveRecord">
    <vt:lpwstr>eyJoZGlkIjoiZTA4NzIyN2MxYTlmMzQ1NGE2MjU5NWRkMjhlOGMxYTAiLCJ1c2VySWQiOiIzODUxMDMzMTgifQ==</vt:lpwstr>
  </property>
</Properties>
</file>