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095D4">
      <w:pPr>
        <w:spacing w:line="360" w:lineRule="auto"/>
        <w:jc w:val="center"/>
        <w:rPr>
          <w:rFonts w:hint="eastAsia"/>
          <w:b/>
          <w:color w:val="000000"/>
          <w:sz w:val="72"/>
          <w:szCs w:val="72"/>
          <w:lang w:val="en-US" w:eastAsia="zh-CN"/>
        </w:rPr>
      </w:pPr>
    </w:p>
    <w:p w14:paraId="1BEC0FAF">
      <w:pPr>
        <w:spacing w:line="360" w:lineRule="auto"/>
        <w:jc w:val="center"/>
        <w:rPr>
          <w:rFonts w:hint="eastAsia"/>
          <w:b/>
          <w:color w:val="000000"/>
          <w:sz w:val="72"/>
          <w:szCs w:val="72"/>
          <w:lang w:val="en-US" w:eastAsia="zh-CN"/>
        </w:rPr>
      </w:pPr>
      <w:r>
        <w:rPr>
          <w:rFonts w:hint="eastAsia"/>
          <w:b/>
          <w:color w:val="000000"/>
          <w:sz w:val="72"/>
          <w:szCs w:val="72"/>
          <w:lang w:val="en-US" w:eastAsia="zh-CN"/>
        </w:rPr>
        <w:t>四川宏达股份有限公司</w:t>
      </w:r>
    </w:p>
    <w:p w14:paraId="6C6D3088">
      <w:pPr>
        <w:spacing w:line="360" w:lineRule="auto"/>
        <w:jc w:val="center"/>
        <w:rPr>
          <w:rFonts w:hint="default"/>
          <w:b/>
          <w:color w:val="000000"/>
          <w:sz w:val="72"/>
          <w:szCs w:val="72"/>
          <w:lang w:val="en-US" w:eastAsia="zh-CN"/>
        </w:rPr>
      </w:pPr>
      <w:r>
        <w:rPr>
          <w:rFonts w:hint="eastAsia"/>
          <w:b/>
          <w:color w:val="000000"/>
          <w:sz w:val="72"/>
          <w:szCs w:val="72"/>
          <w:lang w:val="en-US" w:eastAsia="zh-CN"/>
        </w:rPr>
        <w:t>什邡磷化工分公司</w:t>
      </w:r>
    </w:p>
    <w:p w14:paraId="0A61CA28">
      <w:pPr>
        <w:adjustRightInd w:val="0"/>
        <w:snapToGrid w:val="0"/>
        <w:jc w:val="both"/>
        <w:rPr>
          <w:rFonts w:hint="eastAsia" w:ascii="隶书" w:eastAsia="隶书"/>
          <w:b/>
          <w:bCs/>
          <w:color w:val="000000"/>
          <w:spacing w:val="40"/>
          <w:sz w:val="72"/>
          <w:szCs w:val="44"/>
        </w:rPr>
      </w:pPr>
    </w:p>
    <w:p w14:paraId="59BAAF0F">
      <w:pPr>
        <w:adjustRightInd w:val="0"/>
        <w:snapToGrid w:val="0"/>
        <w:jc w:val="both"/>
        <w:rPr>
          <w:rFonts w:hint="eastAsia" w:ascii="隶书" w:eastAsia="隶书"/>
          <w:b/>
          <w:bCs/>
          <w:color w:val="000000"/>
          <w:spacing w:val="40"/>
          <w:sz w:val="72"/>
          <w:szCs w:val="44"/>
        </w:rPr>
      </w:pPr>
    </w:p>
    <w:p w14:paraId="5BBF567D">
      <w:pPr>
        <w:adjustRightInd w:val="0"/>
        <w:snapToGrid w:val="0"/>
        <w:jc w:val="both"/>
        <w:rPr>
          <w:rFonts w:hint="eastAsia" w:ascii="隶书" w:eastAsia="隶书"/>
          <w:b/>
          <w:bCs/>
          <w:color w:val="000000"/>
          <w:spacing w:val="40"/>
          <w:sz w:val="72"/>
          <w:szCs w:val="44"/>
        </w:rPr>
      </w:pPr>
    </w:p>
    <w:p w14:paraId="42963B12">
      <w:pPr>
        <w:adjustRightInd w:val="0"/>
        <w:snapToGrid w:val="0"/>
        <w:jc w:val="center"/>
        <w:rPr>
          <w:rFonts w:hint="default" w:ascii="仿宋_GB2312" w:hAnsi="仿宋_GB2312" w:eastAsia="仿宋_GB2312" w:cs="仿宋_GB2312"/>
          <w:b/>
          <w:bCs/>
          <w:color w:val="000000"/>
          <w:sz w:val="72"/>
          <w:szCs w:val="72"/>
          <w:lang w:val="en-US"/>
        </w:rPr>
      </w:pPr>
      <w:r>
        <w:rPr>
          <w:rFonts w:hint="eastAsia" w:ascii="仿宋_GB2312" w:hAnsi="仿宋_GB2312" w:eastAsia="仿宋_GB2312" w:cs="仿宋_GB2312"/>
          <w:b/>
          <w:bCs/>
          <w:color w:val="000000"/>
          <w:spacing w:val="40"/>
          <w:sz w:val="72"/>
          <w:szCs w:val="72"/>
          <w:lang w:val="en-US" w:eastAsia="zh-CN"/>
        </w:rPr>
        <w:t>GDS报警系统</w:t>
      </w:r>
    </w:p>
    <w:p w14:paraId="5CAA80B6">
      <w:pPr>
        <w:adjustRightInd w:val="0"/>
        <w:snapToGrid w:val="0"/>
        <w:jc w:val="center"/>
        <w:rPr>
          <w:rFonts w:hint="eastAsia" w:ascii="仿宋_GB2312" w:hAnsi="仿宋_GB2312" w:eastAsia="仿宋_GB2312" w:cs="仿宋_GB2312"/>
          <w:b w:val="0"/>
          <w:bCs w:val="0"/>
          <w:color w:val="000000"/>
          <w:sz w:val="72"/>
          <w:szCs w:val="72"/>
        </w:rPr>
      </w:pPr>
      <w:r>
        <w:rPr>
          <w:rFonts w:hint="eastAsia" w:ascii="仿宋_GB2312" w:hAnsi="仿宋_GB2312" w:eastAsia="仿宋_GB2312" w:cs="仿宋_GB2312"/>
          <w:b/>
          <w:bCs/>
          <w:color w:val="000000"/>
          <w:sz w:val="72"/>
          <w:szCs w:val="72"/>
        </w:rPr>
        <w:t>技术</w:t>
      </w:r>
      <w:r>
        <w:rPr>
          <w:rFonts w:hint="eastAsia" w:ascii="仿宋_GB2312" w:hAnsi="仿宋_GB2312" w:eastAsia="仿宋_GB2312" w:cs="仿宋_GB2312"/>
          <w:b/>
          <w:bCs/>
          <w:color w:val="000000"/>
          <w:sz w:val="72"/>
          <w:szCs w:val="72"/>
          <w:lang w:val="en-US" w:eastAsia="zh-CN"/>
        </w:rPr>
        <w:t>规格</w:t>
      </w:r>
      <w:r>
        <w:rPr>
          <w:rFonts w:hint="eastAsia" w:ascii="仿宋_GB2312" w:hAnsi="仿宋_GB2312" w:eastAsia="仿宋_GB2312" w:cs="仿宋_GB2312"/>
          <w:b/>
          <w:bCs/>
          <w:color w:val="000000"/>
          <w:sz w:val="72"/>
          <w:szCs w:val="72"/>
        </w:rPr>
        <w:t>书</w:t>
      </w:r>
    </w:p>
    <w:p w14:paraId="52B02868">
      <w:pPr>
        <w:rPr>
          <w:rFonts w:hint="eastAsia"/>
          <w:color w:val="000000"/>
        </w:rPr>
      </w:pPr>
    </w:p>
    <w:p w14:paraId="1862EA36">
      <w:pPr>
        <w:snapToGrid w:val="0"/>
        <w:spacing w:after="156" w:afterLines="50" w:line="360" w:lineRule="auto"/>
        <w:rPr>
          <w:rFonts w:hint="eastAsia" w:hAnsi="宋体"/>
          <w:b/>
          <w:color w:val="000000"/>
          <w:spacing w:val="5"/>
          <w:sz w:val="28"/>
        </w:rPr>
      </w:pPr>
    </w:p>
    <w:p w14:paraId="1306A425">
      <w:pPr>
        <w:snapToGrid w:val="0"/>
        <w:spacing w:after="156" w:afterLines="50" w:line="360" w:lineRule="auto"/>
        <w:rPr>
          <w:rFonts w:hint="eastAsia" w:hAnsi="宋体"/>
          <w:b/>
          <w:color w:val="000000"/>
          <w:spacing w:val="5"/>
          <w:sz w:val="28"/>
        </w:rPr>
      </w:pPr>
    </w:p>
    <w:p w14:paraId="053F7E17">
      <w:pPr>
        <w:snapToGrid w:val="0"/>
        <w:spacing w:after="156" w:afterLines="50" w:line="360" w:lineRule="auto"/>
        <w:rPr>
          <w:rFonts w:hint="eastAsia" w:hAnsi="宋体"/>
          <w:b/>
          <w:color w:val="000000"/>
          <w:spacing w:val="5"/>
          <w:sz w:val="28"/>
        </w:rPr>
      </w:pPr>
    </w:p>
    <w:p w14:paraId="771D6CEC">
      <w:pPr>
        <w:snapToGrid w:val="0"/>
        <w:spacing w:after="156" w:afterLines="50" w:line="360" w:lineRule="auto"/>
        <w:rPr>
          <w:rFonts w:hint="eastAsia" w:hAnsi="宋体"/>
          <w:b/>
          <w:color w:val="000000"/>
          <w:spacing w:val="5"/>
          <w:sz w:val="28"/>
        </w:rPr>
      </w:pPr>
    </w:p>
    <w:p w14:paraId="4F5149AA">
      <w:pPr>
        <w:snapToGrid w:val="0"/>
        <w:spacing w:after="156" w:afterLines="50" w:line="360" w:lineRule="auto"/>
        <w:rPr>
          <w:rFonts w:hint="eastAsia" w:hAnsi="宋体"/>
          <w:b/>
          <w:color w:val="000000"/>
          <w:spacing w:val="5"/>
          <w:sz w:val="28"/>
        </w:rPr>
      </w:pPr>
    </w:p>
    <w:p w14:paraId="1AA1F685">
      <w:pPr>
        <w:snapToGrid w:val="0"/>
        <w:spacing w:after="156" w:afterLines="50" w:line="360" w:lineRule="auto"/>
        <w:jc w:val="both"/>
        <w:rPr>
          <w:rFonts w:hint="eastAsia" w:hAnsi="宋体"/>
          <w:b/>
          <w:color w:val="000000"/>
          <w:spacing w:val="5"/>
          <w:sz w:val="28"/>
          <w:lang w:val="en-US" w:eastAsia="zh-CN"/>
        </w:rPr>
      </w:pPr>
    </w:p>
    <w:p w14:paraId="7E653103">
      <w:pPr>
        <w:snapToGrid w:val="0"/>
        <w:spacing w:after="156" w:afterLines="50" w:line="360" w:lineRule="auto"/>
        <w:jc w:val="right"/>
        <w:rPr>
          <w:rFonts w:hint="eastAsia" w:hAnsi="宋体"/>
          <w:b/>
          <w:color w:val="000000"/>
          <w:spacing w:val="5"/>
          <w:sz w:val="28"/>
          <w:lang w:val="en-US" w:eastAsia="zh-CN"/>
        </w:rPr>
      </w:pPr>
      <w:r>
        <w:rPr>
          <w:rFonts w:hint="eastAsia" w:hAnsi="宋体"/>
          <w:b/>
          <w:color w:val="000000"/>
          <w:spacing w:val="5"/>
          <w:sz w:val="28"/>
          <w:lang w:val="en-US" w:eastAsia="zh-CN"/>
        </w:rPr>
        <w:t>（技术）王江13700903942</w:t>
      </w:r>
    </w:p>
    <w:p w14:paraId="3D73E9E1">
      <w:pPr>
        <w:snapToGrid w:val="0"/>
        <w:spacing w:after="156" w:afterLines="50" w:line="360" w:lineRule="auto"/>
        <w:jc w:val="right"/>
        <w:rPr>
          <w:rFonts w:hint="default" w:hAnsi="宋体"/>
          <w:b/>
          <w:color w:val="000000"/>
          <w:spacing w:val="5"/>
          <w:sz w:val="28"/>
          <w:lang w:val="en-US" w:eastAsia="zh-CN"/>
        </w:rPr>
      </w:pPr>
      <w:r>
        <w:rPr>
          <w:rFonts w:hint="eastAsia" w:hAnsi="宋体"/>
          <w:b/>
          <w:color w:val="000000"/>
          <w:spacing w:val="5"/>
          <w:sz w:val="28"/>
          <w:lang w:val="en-US" w:eastAsia="zh-CN"/>
        </w:rPr>
        <w:t>2025年6月3日</w:t>
      </w:r>
    </w:p>
    <w:p w14:paraId="51A8A5C6">
      <w:pPr>
        <w:jc w:val="center"/>
        <w:rPr>
          <w:rFonts w:hint="eastAsia"/>
          <w:lang w:val="en-US" w:eastAsia="zh-CN"/>
        </w:rPr>
      </w:pPr>
    </w:p>
    <w:p w14:paraId="50C4086F">
      <w:pPr>
        <w:jc w:val="center"/>
        <w:rPr>
          <w:rFonts w:hint="eastAsia"/>
          <w:lang w:val="en-US" w:eastAsia="zh-CN"/>
        </w:rPr>
      </w:pPr>
    </w:p>
    <w:p w14:paraId="7ED83CA7">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一、</w:t>
      </w:r>
      <w:r>
        <w:rPr>
          <w:rFonts w:hint="eastAsia" w:ascii="仿宋_GB2312" w:hAnsi="仿宋_GB2312" w:eastAsia="仿宋_GB2312" w:cs="仿宋_GB2312"/>
          <w:b/>
          <w:bCs/>
          <w:color w:val="000000"/>
          <w:sz w:val="28"/>
          <w:szCs w:val="28"/>
        </w:rPr>
        <w:t>总则</w:t>
      </w:r>
    </w:p>
    <w:p w14:paraId="0E2A0ACB">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1.项目地点</w:t>
      </w:r>
    </w:p>
    <w:p w14:paraId="12297FB2">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项目位于四川省什邡市洛水镇，</w:t>
      </w:r>
      <w:r>
        <w:rPr>
          <w:rFonts w:hint="eastAsia" w:ascii="仿宋_GB2312" w:hAnsi="仿宋_GB2312" w:eastAsia="仿宋_GB2312" w:cs="仿宋_GB2312"/>
          <w:color w:val="000000"/>
          <w:sz w:val="28"/>
          <w:szCs w:val="28"/>
        </w:rPr>
        <w:t>四川省辖县级市，由德阳市代管，位于四川盆地腹地成都平原，东与绵竹市和旌阳区相邻，南与广汉市接壤，西与彭州市毗连</w:t>
      </w:r>
      <w:r>
        <w:rPr>
          <w:rFonts w:hint="eastAsia" w:ascii="仿宋_GB2312" w:hAnsi="仿宋_GB2312" w:eastAsia="仿宋_GB2312" w:cs="仿宋_GB2312"/>
          <w:color w:val="000000"/>
          <w:sz w:val="28"/>
          <w:szCs w:val="28"/>
          <w:lang w:eastAsia="zh-CN"/>
        </w:rPr>
        <w:t>。</w:t>
      </w:r>
    </w:p>
    <w:p w14:paraId="46FEDEA7">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val="en-US" w:eastAsia="zh-CN"/>
        </w:rPr>
        <w:t>2.气象资料</w:t>
      </w:r>
    </w:p>
    <w:p w14:paraId="770BC5DD">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什邡市属于亚热带湿润气候区。特点为夏雨冬阴，云雾多，日照少，年温差不太大的暖温环境。由于纬度条件和海洋季风的影响，年平均气温在十三至十七摄氏度之间。平坝区为盆西气候带类型，其北部受山地亚热带常绿森林气候的影响，东西南三面与邻县大气互为回流。气候温和，雨量充沛，日照偏少，四季分明。</w:t>
      </w:r>
    </w:p>
    <w:p w14:paraId="0DD7190E">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3.</w:t>
      </w:r>
      <w:r>
        <w:rPr>
          <w:rFonts w:hint="eastAsia" w:ascii="仿宋_GB2312" w:hAnsi="仿宋_GB2312" w:eastAsia="仿宋_GB2312" w:cs="仿宋_GB2312"/>
          <w:b/>
          <w:bCs/>
          <w:color w:val="000000"/>
          <w:sz w:val="28"/>
          <w:szCs w:val="28"/>
        </w:rPr>
        <w:t>概述</w:t>
      </w:r>
    </w:p>
    <w:p w14:paraId="3B8650AB">
      <w:pPr>
        <w:ind w:firstLine="562" w:firstLineChars="2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3.1 GDS系统描述</w:t>
      </w:r>
    </w:p>
    <w:p w14:paraId="7DA7FC81">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GDS系统主要由现场气体报警器、报警控制器、PLC及监控上位机构成。现场有毒气体报警器线接进入机柜的报警控制器，报警控制器再输出4~20mA信号进入隔离器（一入二出），隔离器一路信号去PLC（硬接线4~20mA）组成GDS报警系统；一路信号（硬接线4~20mA）去DCS系统，DCS系统进行辅助监视、报警（显示、声音）、记录（集成商引出线到接线底座，DCS系统部分由业主完成）。</w:t>
      </w:r>
    </w:p>
    <w:p w14:paraId="5D7D842F">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（2）.气体报警器、报警控制器、PLC及上位机（显示操作站）组成GDS系统，显示操作站在远程（1000米，双网通讯）的中心控制室进行监视、报警（显示、声音）、记录（不低于1年）、确认和消音。</w:t>
      </w:r>
    </w:p>
    <w:p w14:paraId="7ABA9EAE">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（3）.报警控制器：驱动中心控制室及机柜顶部有毒气体二级报警和故障报警的声光报警器。</w:t>
      </w:r>
    </w:p>
    <w:p w14:paraId="7ECDD632">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（4）.PLC：驱动有毒气体二级报警的各处区域声光报警器（两个声光报警器），在机柜上设置“消音/确认”按钮。</w:t>
      </w:r>
    </w:p>
    <w:p w14:paraId="5BC4BA94">
      <w:pPr>
        <w:ind w:firstLine="562" w:firstLineChars="2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3.2 此项目GDS系统主要组成:</w:t>
      </w:r>
    </w:p>
    <w:p w14:paraId="6478A952">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（1）.机柜：1个，长*深*高（700*600*2100mm），主体结构及板材金属板厚≥2mm，颜色：灰色，柜内布置由成套商设计布置。工作接地、保护接地等配置完善。</w:t>
      </w:r>
    </w:p>
    <w:p w14:paraId="081DF3EC">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（2）.PLC：AI输入通道≥30个，DI输入通道≥4个，DO输出通道≥4个，推荐品牌：和利时、浙江中控、汇川技术。</w:t>
      </w:r>
    </w:p>
    <w:p w14:paraId="66821B98">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（3）.UPS电源：1套，集成在机柜内（业主已配置）。</w:t>
      </w:r>
    </w:p>
    <w:p w14:paraId="67757046">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（4）.隔离器：30个，型号：PHG-12TE-211。</w:t>
      </w:r>
    </w:p>
    <w:p w14:paraId="6999434D">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（5）.电源浪涌保护器：1个，220V.AC，型号：PHL-TA-20/385/2P。</w:t>
      </w:r>
    </w:p>
    <w:p w14:paraId="2B325A46">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（6）.声光报警器：1个（≥120dB,柜顶预装1个；区域报警器业主已有）。</w:t>
      </w:r>
    </w:p>
    <w:p w14:paraId="2169FAAC">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（7）.报警器：30个，型号：ES2000盘装表，220V.AC电源，三线制，RS-485通讯，3继电器输出（低报、高报、故障）。</w:t>
      </w:r>
    </w:p>
    <w:p w14:paraId="1FE3A177">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（8）.显示操作站（上位机）：显示器27寸黑色，CPU-英特尔i5-10代以上，硬盘240G固态（金士顿等一线品牌）+1TB机械硬盘，16G内存，双100/1000M网卡，以上性能等同或以上。使用正版软件，及建立数据库，双网通讯。</w:t>
      </w:r>
    </w:p>
    <w:p w14:paraId="7F719255">
      <w:pPr>
        <w:ind w:firstLine="560" w:firstLineChars="200"/>
        <w:jc w:val="both"/>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（9）.其他主要电气元件使用人民电气或者正泰电气产品。</w:t>
      </w:r>
    </w:p>
    <w:p w14:paraId="43A1184A">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（10）.配置光纤信号传输远传1000米（业主已配置光纤—单模）。</w:t>
      </w:r>
    </w:p>
    <w:p w14:paraId="7A9DCE81">
      <w:pPr>
        <w:widowControl/>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bCs/>
          <w:color w:val="000000" w:themeColor="text1"/>
          <w:kern w:val="0"/>
          <w:sz w:val="28"/>
          <w:szCs w:val="28"/>
          <w14:textFill>
            <w14:solidFill>
              <w14:schemeClr w14:val="tx1"/>
            </w14:solidFill>
          </w14:textFill>
        </w:rPr>
        <w:t>.设备安装与调试</w:t>
      </w:r>
    </w:p>
    <w:p w14:paraId="51A7AD2F">
      <w:pPr>
        <w:widowControl/>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.1 在设备安装、调试期间，派合格的安装人员到现场进行指导安装、调试。</w:t>
      </w:r>
    </w:p>
    <w:p w14:paraId="53ED23D9">
      <w:pPr>
        <w:widowControl/>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.2 设备安装前卖方需向买方进行技术交底。安装过程中，应当完全接受买方协调。向买方提供安装所需的所有图纸(电气图纸保证完整、有效、正确，原理图以展开图的形式绘出)、标准、专用工具、要求及注意事项，供卖方认可。</w:t>
      </w:r>
    </w:p>
    <w:p w14:paraId="75524200">
      <w:pPr>
        <w:widowControl/>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.3 乙方提供PLC控制系统应在所有方面都是完整的，并能满足本规格书提到的设计要求、技术要求和质量保证要求。</w:t>
      </w:r>
    </w:p>
    <w:p w14:paraId="12706F82">
      <w:pPr>
        <w:widowControl/>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提供</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系统</w:t>
      </w:r>
      <w:r>
        <w:rPr>
          <w:rFonts w:hint="eastAsia" w:ascii="仿宋_GB2312" w:hAnsi="仿宋_GB2312" w:eastAsia="仿宋_GB2312" w:cs="仿宋_GB2312"/>
          <w:color w:val="000000" w:themeColor="text1"/>
          <w:kern w:val="0"/>
          <w:sz w:val="28"/>
          <w:szCs w:val="28"/>
          <w14:textFill>
            <w14:solidFill>
              <w14:schemeClr w14:val="tx1"/>
            </w14:solidFill>
          </w14:textFill>
        </w:rPr>
        <w:t>柜，装配包括所有的电气设备（含报警），和控制程序。</w:t>
      </w:r>
    </w:p>
    <w:p w14:paraId="45D7C81E">
      <w:pPr>
        <w:widowControl/>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提供完整的维修手册，它包括所有的日常和非正常维修、故障排除和有关步骤。</w:t>
      </w:r>
    </w:p>
    <w:p w14:paraId="563207DA">
      <w:pPr>
        <w:widowControl/>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提供详细的安装图、内部布置图、内部接线图。</w:t>
      </w:r>
    </w:p>
    <w:p w14:paraId="7A4C8F80">
      <w:pPr>
        <w:widowControl/>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提供电气单元和主接线图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接地、避雷、用电等</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满足相关规范</w:t>
      </w:r>
      <w:r>
        <w:rPr>
          <w:rFonts w:hint="eastAsia" w:ascii="仿宋_GB2312" w:hAnsi="仿宋_GB2312" w:eastAsia="仿宋_GB2312" w:cs="仿宋_GB2312"/>
          <w:color w:val="000000" w:themeColor="text1"/>
          <w:kern w:val="0"/>
          <w:sz w:val="28"/>
          <w:szCs w:val="28"/>
          <w14:textFill>
            <w14:solidFill>
              <w14:schemeClr w14:val="tx1"/>
            </w14:solidFill>
          </w14:textFill>
        </w:rPr>
        <w:t>要求；提供用于信号测量及控制接线图、电路和供电的图纸；提供设备</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合格证、检验</w:t>
      </w:r>
      <w:r>
        <w:rPr>
          <w:rFonts w:hint="eastAsia" w:ascii="仿宋_GB2312" w:hAnsi="仿宋_GB2312" w:eastAsia="仿宋_GB2312" w:cs="仿宋_GB2312"/>
          <w:color w:val="000000" w:themeColor="text1"/>
          <w:kern w:val="0"/>
          <w:sz w:val="28"/>
          <w:szCs w:val="28"/>
          <w14:textFill>
            <w14:solidFill>
              <w14:schemeClr w14:val="tx1"/>
            </w14:solidFill>
          </w14:textFill>
        </w:rPr>
        <w:t>等有关资料。</w:t>
      </w:r>
    </w:p>
    <w:p w14:paraId="39D9FD2D">
      <w:pPr>
        <w:widowControl/>
        <w:jc w:val="left"/>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b/>
          <w:bCs/>
          <w:color w:val="000000" w:themeColor="text1"/>
          <w:kern w:val="0"/>
          <w:sz w:val="28"/>
          <w:szCs w:val="28"/>
          <w14:textFill>
            <w14:solidFill>
              <w14:schemeClr w14:val="tx1"/>
            </w14:solidFill>
          </w14:textFill>
        </w:rPr>
        <w:t>.执行标准</w:t>
      </w:r>
    </w:p>
    <w:p w14:paraId="04395BB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设计、制造及测试验收工作均应遵从现行的相关标准、规范及安全规定且</w:t>
      </w:r>
      <w:r>
        <w:rPr>
          <w:rFonts w:hint="eastAsia" w:ascii="仿宋_GB2312" w:hAnsi="仿宋_GB2312" w:eastAsia="仿宋_GB2312" w:cs="仿宋_GB2312"/>
          <w:sz w:val="28"/>
          <w:szCs w:val="28"/>
          <w:lang w:val="en-US" w:eastAsia="zh-CN"/>
        </w:rPr>
        <w:t>不仅限于</w:t>
      </w:r>
      <w:r>
        <w:rPr>
          <w:rFonts w:hint="eastAsia" w:ascii="仿宋_GB2312" w:hAnsi="仿宋_GB2312" w:eastAsia="仿宋_GB2312" w:cs="仿宋_GB2312"/>
          <w:sz w:val="28"/>
          <w:szCs w:val="28"/>
        </w:rPr>
        <w:t>下面所列各项。在相关规范尚未出现或者尚未被正式发布之前，上述工作应符合IEC组织的相应标准。</w:t>
      </w:r>
    </w:p>
    <w:p w14:paraId="6336344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GB2421-89  电工电子产品基本环境试验规程</w:t>
      </w:r>
    </w:p>
    <w:p w14:paraId="71B5774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IEC 60255  继电器</w:t>
      </w:r>
    </w:p>
    <w:p w14:paraId="7A93A22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GB4208-93  外壳防护等级（IP码）</w:t>
      </w:r>
    </w:p>
    <w:p w14:paraId="22A5A11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GB/T13926.1-92  工业过程测量和控制装置的电磁兼容性，第1部分:总论</w:t>
      </w:r>
    </w:p>
    <w:p w14:paraId="7EE5F6E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GB/T13926.2-92  工业过程测量和控制装置的电磁兼容性，第2部分: 静电放电要求</w:t>
      </w:r>
    </w:p>
    <w:p w14:paraId="5C66429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GB/T13926.3-92  工业过程测量和控制装置的电磁兼容性，第3部分:辐射电磁场要求</w:t>
      </w:r>
    </w:p>
    <w:p w14:paraId="118B75A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卖方提出的其它相应替代标准，但需经买方确认。</w:t>
      </w:r>
    </w:p>
    <w:p w14:paraId="561FEF9F">
      <w:pPr>
        <w:widowControl/>
        <w:jc w:val="left"/>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b/>
          <w:bCs/>
          <w:color w:val="000000" w:themeColor="text1"/>
          <w:kern w:val="0"/>
          <w:sz w:val="28"/>
          <w:szCs w:val="28"/>
          <w14:textFill>
            <w14:solidFill>
              <w14:schemeClr w14:val="tx1"/>
            </w14:solidFill>
          </w14:textFill>
        </w:rPr>
        <w:t>.设备供货清单</w:t>
      </w:r>
    </w:p>
    <w:p w14:paraId="57D80D1C">
      <w:p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乙方需提供主要设备的详细清单。</w:t>
      </w:r>
    </w:p>
    <w:sectPr>
      <w:head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1EE32">
    <w:pPr>
      <w:pStyle w:val="3"/>
      <w:rPr>
        <w:rFonts w:hint="default" w:eastAsiaTheme="minorEastAsia"/>
        <w:lang w:val="en-US" w:eastAsia="zh-CN"/>
      </w:rPr>
    </w:pPr>
    <w:r>
      <w:rPr>
        <w:rFonts w:hint="eastAsia"/>
        <w:lang w:val="en-US" w:eastAsia="zh-CN"/>
      </w:rPr>
      <w:t>四川宏达股份有限公司什邡磷化工分公司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2Y1NDQyYTkzY2U3NGIwYjYwMzAzOTZlNTBlNzIifQ=="/>
  </w:docVars>
  <w:rsids>
    <w:rsidRoot w:val="00000000"/>
    <w:rsid w:val="043069F4"/>
    <w:rsid w:val="05C04820"/>
    <w:rsid w:val="08197478"/>
    <w:rsid w:val="0CDE0E6F"/>
    <w:rsid w:val="0DE93979"/>
    <w:rsid w:val="0E0C1800"/>
    <w:rsid w:val="0EDF7256"/>
    <w:rsid w:val="10057494"/>
    <w:rsid w:val="173E38F9"/>
    <w:rsid w:val="1C295ECB"/>
    <w:rsid w:val="1F6A38DF"/>
    <w:rsid w:val="205630F0"/>
    <w:rsid w:val="212D1869"/>
    <w:rsid w:val="219E47B4"/>
    <w:rsid w:val="24125580"/>
    <w:rsid w:val="25D42508"/>
    <w:rsid w:val="278C1784"/>
    <w:rsid w:val="28656634"/>
    <w:rsid w:val="28AF0ABD"/>
    <w:rsid w:val="2B3732C8"/>
    <w:rsid w:val="2BBF1A78"/>
    <w:rsid w:val="2C2C73FB"/>
    <w:rsid w:val="2F0D52C2"/>
    <w:rsid w:val="33CE5766"/>
    <w:rsid w:val="350C3E04"/>
    <w:rsid w:val="357C3C3D"/>
    <w:rsid w:val="35E13004"/>
    <w:rsid w:val="369D798B"/>
    <w:rsid w:val="37B72215"/>
    <w:rsid w:val="38E31C31"/>
    <w:rsid w:val="38F760C4"/>
    <w:rsid w:val="3C682A67"/>
    <w:rsid w:val="3EA25F0F"/>
    <w:rsid w:val="42F708B2"/>
    <w:rsid w:val="4A485C77"/>
    <w:rsid w:val="4D7A741A"/>
    <w:rsid w:val="4F870321"/>
    <w:rsid w:val="4FE66024"/>
    <w:rsid w:val="5018108D"/>
    <w:rsid w:val="52AD531A"/>
    <w:rsid w:val="58887EBC"/>
    <w:rsid w:val="5AC0011D"/>
    <w:rsid w:val="5B107B2A"/>
    <w:rsid w:val="5E6A32E8"/>
    <w:rsid w:val="5E752848"/>
    <w:rsid w:val="5FAA42E4"/>
    <w:rsid w:val="60B07222"/>
    <w:rsid w:val="61EA2B18"/>
    <w:rsid w:val="61F0544C"/>
    <w:rsid w:val="66224108"/>
    <w:rsid w:val="69F400B0"/>
    <w:rsid w:val="6A5F3F1C"/>
    <w:rsid w:val="70E611C8"/>
    <w:rsid w:val="715B00F5"/>
    <w:rsid w:val="727F142E"/>
    <w:rsid w:val="730A17AB"/>
    <w:rsid w:val="73522870"/>
    <w:rsid w:val="735961A6"/>
    <w:rsid w:val="7483433F"/>
    <w:rsid w:val="74B20FC5"/>
    <w:rsid w:val="74C97C97"/>
    <w:rsid w:val="7615575F"/>
    <w:rsid w:val="76FC0F58"/>
    <w:rsid w:val="77C406AC"/>
    <w:rsid w:val="79206D53"/>
    <w:rsid w:val="7A020420"/>
    <w:rsid w:val="7D831878"/>
    <w:rsid w:val="7E000601"/>
    <w:rsid w:val="7E65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1643</Words>
  <Characters>1903</Characters>
  <Lines>0</Lines>
  <Paragraphs>0</Paragraphs>
  <TotalTime>15</TotalTime>
  <ScaleCrop>false</ScaleCrop>
  <LinksUpToDate>false</LinksUpToDate>
  <CharactersWithSpaces>1926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2022-06-25T01:51:00Z</dcterms:created>
  <dc:creator>DELL</dc:creator>
  <cp:lastModifiedBy>HUAWEI</cp:lastModifiedBy>
  <dcterms:modified xsi:type="dcterms:W3CDTF">2025-07-19T10:22:32Z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6A034BE57D7245A0BDD4B5B45924C696</vt:lpwstr>
  </property>
  <property fmtid="{D5CDD505-2E9C-101B-9397-08002B2CF9AE}" pid="4" name="KSOTemplateDocerSaveRecord">
    <vt:lpwstr>eyJoZGlkIjoiMzEwNTM5NzYwMDRjMzkwZTVkZjY2ODkwMGIxNGU0OTUiLCJ1c2VySWQiOiI1ODMxMTg2NzEifQ==</vt:lpwstr>
  </property>
</Properties>
</file>