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F9E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highlight w:val="none"/>
          <w:lang w:val="zh-CN"/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低温余热高温吸收塔专用坐立式纤维除雾器元件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2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6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6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编号：HDGF-SFLHG-GKZB-2025-HW03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低温余热高温吸收塔专用坐立式纤维除雾器元件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  编号：HDGF-SFLHG-GKZB-2025-HW03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四川宏达股份有限公司什邡磷化工分公司因生产需采购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低温余热高温吸收塔专用坐立式纤维除雾器元件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。欢迎贵公司前来报价，将相关事项公告如下：</w:t>
      </w:r>
    </w:p>
    <w:p w14:paraId="110F2859">
      <w:pPr>
        <w:pStyle w:val="14"/>
        <w:spacing w:before="0" w:beforeAutospacing="0" w:after="0" w:afterAutospacing="0" w:line="4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低温余热高温吸收塔专用坐立式纤维除雾器元件1</w:t>
      </w:r>
      <w:r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0套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1.标的物工艺条件及技术要求：</w:t>
      </w:r>
    </w:p>
    <w:p w14:paraId="3B558057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⑴、网笼及液封管材质：316L，过滤原件材质：进口玻璃纤维。</w:t>
      </w:r>
    </w:p>
    <w:p w14:paraId="082DE4A6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⑵、适用介质：N2、SO2、SO3及98%-99.5%H2SO4雾，温度：85°C。</w:t>
      </w:r>
    </w:p>
    <w:p w14:paraId="18984270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⑶、除雾效率：粒径≥3um，除雾效率100%；粒径≤1um，除雾效率≥99.9%。压降≤2.5kpa。除雾后烟气气体酸雾含量 ≤30mg/m3。</w:t>
      </w:r>
    </w:p>
    <w:p w14:paraId="3BB4FD8A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2.质量要求：买方按设计图纸、技术参数中相关要求进行验收。</w:t>
      </w:r>
    </w:p>
    <w:p w14:paraId="438CC69B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3.工艺条件</w:t>
      </w:r>
    </w:p>
    <w:p w14:paraId="6DBB03E2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详见附件：图纸</w:t>
      </w:r>
    </w:p>
    <w:p w14:paraId="3A424349">
      <w:pPr>
        <w:pStyle w:val="14"/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48B6AD3B">
      <w:pPr>
        <w:pStyle w:val="2"/>
        <w:ind w:firstLine="420"/>
      </w:pPr>
      <w:r>
        <w:drawing>
          <wp:inline distT="0" distB="0" distL="114300" distR="114300">
            <wp:extent cx="5271135" cy="7415530"/>
            <wp:effectExtent l="0" t="0" r="190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4519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1C87432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B7328E2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692C159E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1BACAA1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以现汇或者银行电子承兑支付。合同签订后招标方向中标方预付合同总金额的30%，货到招标方验收合格，中标方出具全额增值税专用发票后，招标方支付合同总金额的6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%，余1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%质保金待质保期满且无质量异议后支付。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2025年7月1日 00 时 00 分至 2025年7 月2日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7月7日 10 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10.响应性文件的要求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②提供近三年（2022年6月-2025年6月）相关制造及销售业绩（附中标通知书或合同扫描件，中标通知书或合同包括已履约完成和正在履约均可，同一家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532C13C6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比选申请人须于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日上午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前缴纳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投标保证金10000元，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以比选申请人基本账户对公转账至以下账户：</w:t>
      </w:r>
    </w:p>
    <w:p w14:paraId="5A0F175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049F668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开户账号：122553636205</w:t>
      </w:r>
    </w:p>
    <w:p w14:paraId="54A60143">
      <w:pPr>
        <w:pStyle w:val="38"/>
        <w:spacing w:before="13" w:line="262" w:lineRule="auto"/>
        <w:ind w:right="102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比选申请人需备注：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纤维除雾器元件</w:t>
      </w: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采购投标保证金（可自行简写）。</w:t>
      </w:r>
    </w:p>
    <w:p w14:paraId="44A9B5B4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保证金的退还：中标后七日内按照投标人缴纳的账户原账户退还</w:t>
      </w:r>
    </w:p>
    <w:p w14:paraId="15696E49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有下列情形之一的，比选保证金将不予退还：</w:t>
      </w:r>
    </w:p>
    <w:p w14:paraId="33587ED2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（1）比选申请人在投标有效期内撤销比选申请文件；</w:t>
      </w:r>
    </w:p>
    <w:p w14:paraId="1E5E264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（2）中选人在收到中标通知书后，无正当理由不与比选人订立合同，在签订合同时向比选人提出附加条件；</w:t>
      </w:r>
    </w:p>
    <w:p w14:paraId="5A9C2BF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（3）发生比选申请人规定的其他可以不予退还比选保证金的情形。</w:t>
      </w:r>
    </w:p>
    <w:p w14:paraId="65DB21CF">
      <w:pPr>
        <w:pStyle w:val="2"/>
      </w:pP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bookmarkStart w:id="19" w:name="_GoBack"/>
      <w:bookmarkEnd w:id="19"/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13881082126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6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6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3007D29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68793030"/>
      <w:bookmarkStart w:id="4" w:name="_Toc275019836"/>
      <w:bookmarkStart w:id="5" w:name="_Toc275014947"/>
      <w:bookmarkStart w:id="6" w:name="_Toc303149804"/>
      <w:bookmarkStart w:id="7" w:name="_Toc274236999"/>
      <w:bookmarkStart w:id="8" w:name="_Toc269113527"/>
      <w:bookmarkStart w:id="9" w:name="_Toc16684"/>
      <w:bookmarkStart w:id="10" w:name="_Toc275019684"/>
      <w:bookmarkStart w:id="11" w:name="_Toc318986166"/>
      <w:bookmarkStart w:id="12" w:name="_Toc238552273"/>
      <w:bookmarkStart w:id="13" w:name="_Toc274596702"/>
      <w:bookmarkStart w:id="14" w:name="_Toc238797630"/>
      <w:bookmarkStart w:id="15" w:name="_Toc275019290"/>
    </w:p>
    <w:p w14:paraId="5BCBCC3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C9504C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252751B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E7CD872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153A1C26">
      <w:pPr>
        <w:spacing w:line="440" w:lineRule="exact"/>
        <w:ind w:firstLine="3975" w:firstLineChars="11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1CDE4B2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7414650F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6CBCA989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66CF2988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1DFA4187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根据《中华人民共和国民法典》及相关法律法规的规定，本着平等互利、诚实守信的原则，经买卖双方协商一致，就买方向卖方购买坐立式纤维除雾器元件事宜达成本合同，具体内容如下：</w:t>
      </w:r>
    </w:p>
    <w:p w14:paraId="3FD9CF15">
      <w:pPr>
        <w:pStyle w:val="49"/>
        <w:numPr>
          <w:ilvl w:val="0"/>
          <w:numId w:val="1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9"/>
        <w:tblW w:w="10068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6"/>
        <w:gridCol w:w="710"/>
        <w:gridCol w:w="709"/>
        <w:gridCol w:w="1276"/>
        <w:gridCol w:w="850"/>
        <w:gridCol w:w="1134"/>
        <w:gridCol w:w="1276"/>
        <w:gridCol w:w="1559"/>
      </w:tblGrid>
      <w:tr w14:paraId="0BFFF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6DDDCA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FB2EF7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A98449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计量</w:t>
            </w:r>
          </w:p>
          <w:p w14:paraId="76BF2968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F7AADD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4051F8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B70BCF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20A965F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567E48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0D340C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B0BB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D90B40">
            <w:pPr>
              <w:pStyle w:val="49"/>
              <w:spacing w:line="380" w:lineRule="exact"/>
              <w:ind w:firstLine="0" w:firstLineChars="0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Cs w:val="21"/>
              </w:rPr>
              <w:t>低温余热高温吸收塔专用坐立式纤维除雾器元件（双层）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1D20F5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详见技术参数</w:t>
            </w: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CC6466">
            <w:pPr>
              <w:pStyle w:val="49"/>
              <w:spacing w:line="380" w:lineRule="exact"/>
              <w:ind w:firstLine="0" w:firstLineChars="0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eastAsia="宋体" w:cs="黑体" w:asciiTheme="minorEastAsia" w:hAnsiTheme="minor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BEF545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A470DD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2626A6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75C833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37CE574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31DB71">
            <w:pPr>
              <w:pStyle w:val="49"/>
              <w:spacing w:line="380" w:lineRule="exact"/>
              <w:ind w:firstLine="0" w:firstLineChars="0"/>
              <w:jc w:val="center"/>
              <w:rPr>
                <w:rFonts w:eastAsia="宋体" w:cs="黑体" w:asciiTheme="minorEastAsia" w:hAnsiTheme="minorEastAsia"/>
                <w:sz w:val="24"/>
                <w:szCs w:val="24"/>
              </w:rPr>
            </w:pPr>
          </w:p>
        </w:tc>
      </w:tr>
      <w:tr w14:paraId="1A581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8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C72A88">
            <w:pPr>
              <w:pStyle w:val="13"/>
              <w:shd w:val="clear" w:color="auto" w:fill="FFFFFF"/>
              <w:rPr>
                <w:rFonts w:eastAsia="宋体"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5DBC3575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1、质量标准：</w:t>
      </w:r>
    </w:p>
    <w:p w14:paraId="265EB688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  <w:highlight w:val="lightGray"/>
        </w:rPr>
        <w:t>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、网笼及液封管材质：316L，过滤原件材质：进口玻璃纤维。</w:t>
      </w:r>
    </w:p>
    <w:p w14:paraId="1EC4C230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⑵、适用介质：N2、SO2、SO3及98%-99.5%H2SO4雾，温度：85°C。</w:t>
      </w:r>
    </w:p>
    <w:p w14:paraId="6F25EDF8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⑶、除雾效率：粒径≥3um，除雾效率100%；粒径≤1um，除雾效率≥99.9%。压降≤2.5kpa。除雾后烟气气体酸雾含量 ≤30mg/m3。</w:t>
      </w:r>
    </w:p>
    <w:p w14:paraId="060EECAA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2、质量要求：买方按设计图纸、技术参数中相关要求进行验收。</w:t>
      </w:r>
    </w:p>
    <w:p w14:paraId="10DFE753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3、产品质量实行质保期内“三包”，质保期1年。质保期自货物验收合格之日起开始计算或货到验收合格30个自然日之日起开始计算（因买方原因未安装使用）。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559DA720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</w:p>
    <w:tbl>
      <w:tblPr>
        <w:tblStyle w:val="1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5E0D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195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0BB2F7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277A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9103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89841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1E9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F03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B9D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1A27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DF66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C6130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4B2A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088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9C5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1660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AC9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076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3717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FFB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4B940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05C5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E8C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63A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A225EDE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0877AD81">
      <w:pPr>
        <w:pStyle w:val="2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24708CCD">
      <w:pPr>
        <w:pStyle w:val="2"/>
        <w:ind w:firstLine="0" w:firstLineChars="0"/>
      </w:pPr>
    </w:p>
    <w:p w14:paraId="210F792A">
      <w:pPr>
        <w:spacing w:line="440" w:lineRule="exact"/>
        <w:ind w:firstLine="2160" w:firstLineChars="900"/>
        <w:rPr>
          <w:rFonts w:cs="黑体" w:asciiTheme="minorEastAsia" w:hAnsiTheme="minorEastAsia"/>
          <w:sz w:val="24"/>
          <w:szCs w:val="24"/>
        </w:rPr>
      </w:pPr>
    </w:p>
    <w:p w14:paraId="2BD0F8BF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52562799">
      <w:pPr>
        <w:spacing w:line="44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2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2"/>
        <w:ind w:firstLine="0" w:firstLineChars="0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widowControl/>
        <w:ind w:firstLine="3840" w:firstLineChars="1200"/>
        <w:jc w:val="left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720" w:firstLineChars="200"/>
        <w:jc w:val="both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低温余热高温吸收塔专用坐立式纤维除雾器元件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9978"/>
      <w:bookmarkStart w:id="17" w:name="_Toc30198"/>
      <w:bookmarkStart w:id="18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78365C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、质量证明文件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1200" w:firstLineChars="500"/>
        <w:rPr>
          <w:rFonts w:hint="default" w:ascii="宋体" w:hAnsi="宋体" w:cs="宋体"/>
          <w:color w:val="auto"/>
          <w:sz w:val="24"/>
          <w:lang w:val="en-US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需提供出厂检测报告和合格证</w:t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ascii="宋体" w:hAnsi="宋体" w:eastAsia="宋体"/>
          <w:b/>
          <w:color w:val="auto"/>
          <w:sz w:val="28"/>
          <w:szCs w:val="21"/>
        </w:rPr>
      </w:pPr>
      <w:r>
        <w:rPr>
          <w:rFonts w:hint="eastAsia" w:ascii="宋体" w:hAnsi="宋体" w:eastAsia="宋体"/>
          <w:b/>
          <w:color w:val="auto"/>
          <w:sz w:val="28"/>
          <w:szCs w:val="21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  <w:sz w:val="28"/>
          <w:szCs w:val="21"/>
        </w:rPr>
        <w:t>、报价表</w:t>
      </w:r>
    </w:p>
    <w:p w14:paraId="15414075">
      <w:pPr>
        <w:pStyle w:val="6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8"/>
        <w:tblW w:w="137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643"/>
        <w:gridCol w:w="632"/>
        <w:gridCol w:w="1481"/>
        <w:gridCol w:w="1248"/>
        <w:gridCol w:w="1380"/>
        <w:gridCol w:w="1584"/>
        <w:gridCol w:w="1368"/>
        <w:gridCol w:w="1116"/>
        <w:gridCol w:w="828"/>
      </w:tblGrid>
      <w:tr w14:paraId="1E675A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73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E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C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6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03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406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B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招标限价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6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FC41C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9C99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201D8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D1A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59AD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B49B9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1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8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E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7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E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250DD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9DCE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9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4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Cs w:val="21"/>
              </w:rPr>
              <w:t>低温余热高温吸收塔专用坐立式纤维除雾器元件（双层）（含安装配件：密封F4垫、螺栓）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详见图纸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A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2B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15E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F06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04A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26548.67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A14C6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A385E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BFBA3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不含税合计：</w:t>
            </w:r>
          </w:p>
        </w:tc>
      </w:tr>
      <w:tr w14:paraId="0D9B11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ED3AA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税金（税率  %）：</w:t>
            </w:r>
          </w:p>
        </w:tc>
      </w:tr>
      <w:tr w14:paraId="79C99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9BC86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含税合计：</w:t>
            </w:r>
          </w:p>
        </w:tc>
      </w:tr>
    </w:tbl>
    <w:p w14:paraId="092CFD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4CCAD53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6D5AF54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供应商名称（加盖单位公章）：  </w:t>
      </w:r>
    </w:p>
    <w:p w14:paraId="48FD1DB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                     </w:t>
      </w:r>
    </w:p>
    <w:p w14:paraId="6CC58E7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8E715DE">
      <w:pPr>
        <w:pStyle w:val="36"/>
        <w:spacing w:before="120" w:line="480" w:lineRule="exact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                                       </w:t>
      </w:r>
    </w:p>
    <w:p w14:paraId="03365CA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、保证金</w:t>
      </w:r>
    </w:p>
    <w:p w14:paraId="1151C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31F731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45FFC09B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A16F22">
      <w:pPr>
        <w:pStyle w:val="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85574DD"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 w14:paraId="4391D699"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 w14:paraId="19C0AB32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50D7F285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37D1FC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6DED65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6C2CAF7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C718D0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02CC0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5CAFA7B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5C72515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B5974C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AD7BCD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0770340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A1650F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76DF077E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87866E5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E250B9A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712A057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A05A7B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297C89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EB3D4A5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6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12</w:t>
    </w:r>
    <w:r>
      <w:fldChar w:fldCharType="end"/>
    </w:r>
  </w:p>
  <w:p w14:paraId="7BADD2CA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 w14:paraId="4F0F150C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26700"/>
    <w:rsid w:val="05573D16"/>
    <w:rsid w:val="057443B4"/>
    <w:rsid w:val="05C017FD"/>
    <w:rsid w:val="065C3216"/>
    <w:rsid w:val="0687687D"/>
    <w:rsid w:val="06F2489E"/>
    <w:rsid w:val="070268E6"/>
    <w:rsid w:val="07501427"/>
    <w:rsid w:val="076636BD"/>
    <w:rsid w:val="07B216D8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2076B2"/>
    <w:rsid w:val="11625F1D"/>
    <w:rsid w:val="120F5BA7"/>
    <w:rsid w:val="1235718D"/>
    <w:rsid w:val="128A3A09"/>
    <w:rsid w:val="12A6008B"/>
    <w:rsid w:val="12D009A7"/>
    <w:rsid w:val="136F6733"/>
    <w:rsid w:val="13C54541"/>
    <w:rsid w:val="14676D7E"/>
    <w:rsid w:val="15916DD0"/>
    <w:rsid w:val="15ED6ABF"/>
    <w:rsid w:val="16413351"/>
    <w:rsid w:val="164E090F"/>
    <w:rsid w:val="16937390"/>
    <w:rsid w:val="172F5937"/>
    <w:rsid w:val="17660053"/>
    <w:rsid w:val="177C482D"/>
    <w:rsid w:val="17A66A5F"/>
    <w:rsid w:val="190E59FE"/>
    <w:rsid w:val="19393A07"/>
    <w:rsid w:val="1A294B27"/>
    <w:rsid w:val="1A683441"/>
    <w:rsid w:val="1AC15607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CE7442"/>
    <w:rsid w:val="240434F1"/>
    <w:rsid w:val="240E783E"/>
    <w:rsid w:val="246966F1"/>
    <w:rsid w:val="2470465E"/>
    <w:rsid w:val="2492221D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7B715C"/>
    <w:rsid w:val="2AAB5DE7"/>
    <w:rsid w:val="2AC075D6"/>
    <w:rsid w:val="2C0635BA"/>
    <w:rsid w:val="2C1F4CDE"/>
    <w:rsid w:val="2C612895"/>
    <w:rsid w:val="2C672453"/>
    <w:rsid w:val="2EC03E0B"/>
    <w:rsid w:val="2EE64169"/>
    <w:rsid w:val="30060B83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910246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0582115"/>
    <w:rsid w:val="40770C4B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0076EC"/>
    <w:rsid w:val="48724017"/>
    <w:rsid w:val="48750F6C"/>
    <w:rsid w:val="492B4B3C"/>
    <w:rsid w:val="4A185620"/>
    <w:rsid w:val="4A6F4C2B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8310B3"/>
    <w:rsid w:val="4FE70DC0"/>
    <w:rsid w:val="502E581F"/>
    <w:rsid w:val="50CC06E1"/>
    <w:rsid w:val="50F46497"/>
    <w:rsid w:val="514328A4"/>
    <w:rsid w:val="51600054"/>
    <w:rsid w:val="51875472"/>
    <w:rsid w:val="51F577C4"/>
    <w:rsid w:val="522E0F28"/>
    <w:rsid w:val="52884ADC"/>
    <w:rsid w:val="52A80CDA"/>
    <w:rsid w:val="533212A1"/>
    <w:rsid w:val="53EE72C6"/>
    <w:rsid w:val="54540ED1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8DE3534"/>
    <w:rsid w:val="59AD4E28"/>
    <w:rsid w:val="5B1D65E8"/>
    <w:rsid w:val="5C8C341B"/>
    <w:rsid w:val="5D2F2B1E"/>
    <w:rsid w:val="5D6F365F"/>
    <w:rsid w:val="5DE67B46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3C13A6"/>
    <w:rsid w:val="644F1AB3"/>
    <w:rsid w:val="657C215B"/>
    <w:rsid w:val="661512EF"/>
    <w:rsid w:val="6695205A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A936A1"/>
    <w:rsid w:val="6BD22DE6"/>
    <w:rsid w:val="6C465631"/>
    <w:rsid w:val="6C6400AB"/>
    <w:rsid w:val="6C8B590C"/>
    <w:rsid w:val="6C980533"/>
    <w:rsid w:val="6D343A27"/>
    <w:rsid w:val="6DCF182B"/>
    <w:rsid w:val="6E5B66F4"/>
    <w:rsid w:val="6F712728"/>
    <w:rsid w:val="6FF06CE8"/>
    <w:rsid w:val="704D2789"/>
    <w:rsid w:val="71710FBA"/>
    <w:rsid w:val="72F9402A"/>
    <w:rsid w:val="733A4279"/>
    <w:rsid w:val="74125240"/>
    <w:rsid w:val="74D06143"/>
    <w:rsid w:val="75284014"/>
    <w:rsid w:val="75D4756D"/>
    <w:rsid w:val="75E36E5B"/>
    <w:rsid w:val="767D7C04"/>
    <w:rsid w:val="76A50F09"/>
    <w:rsid w:val="770F7930"/>
    <w:rsid w:val="775744D2"/>
    <w:rsid w:val="77E24ED1"/>
    <w:rsid w:val="789C569A"/>
    <w:rsid w:val="789E730E"/>
    <w:rsid w:val="79042BD4"/>
    <w:rsid w:val="7A450456"/>
    <w:rsid w:val="7AC516D6"/>
    <w:rsid w:val="7BBE5F26"/>
    <w:rsid w:val="7D75764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6"/>
    <w:qFormat/>
    <w:uiPriority w:val="0"/>
    <w:pPr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7"/>
    <w:next w:val="1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4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20"/>
    <w:qFormat/>
    <w:uiPriority w:val="0"/>
    <w:rPr>
      <w:shd w:val="clear" w:color="auto" w:fill="E9F4FD"/>
    </w:rPr>
  </w:style>
  <w:style w:type="character" w:customStyle="1" w:styleId="43">
    <w:name w:val="hover1"/>
    <w:basedOn w:val="20"/>
    <w:qFormat/>
    <w:uiPriority w:val="0"/>
    <w:rPr>
      <w:color w:val="2590EB"/>
    </w:rPr>
  </w:style>
  <w:style w:type="character" w:customStyle="1" w:styleId="44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20"/>
    <w:qFormat/>
    <w:uiPriority w:val="0"/>
    <w:rPr>
      <w:color w:val="2590EB"/>
    </w:rPr>
  </w:style>
  <w:style w:type="character" w:customStyle="1" w:styleId="46">
    <w:name w:val="laydate-disabled"/>
    <w:basedOn w:val="20"/>
    <w:qFormat/>
    <w:uiPriority w:val="0"/>
    <w:rPr>
      <w:color w:val="2590EB"/>
    </w:rPr>
  </w:style>
  <w:style w:type="character" w:customStyle="1" w:styleId="47">
    <w:name w:val="status"/>
    <w:basedOn w:val="20"/>
    <w:qFormat/>
    <w:uiPriority w:val="0"/>
    <w:rPr>
      <w:color w:val="0776DD"/>
    </w:rPr>
  </w:style>
  <w:style w:type="character" w:customStyle="1" w:styleId="48">
    <w:name w:val="time"/>
    <w:basedOn w:val="20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4404</Words>
  <Characters>4734</Characters>
  <Lines>16</Lines>
  <Paragraphs>4</Paragraphs>
  <TotalTime>14</TotalTime>
  <ScaleCrop>false</ScaleCrop>
  <LinksUpToDate>false</LinksUpToDate>
  <CharactersWithSpaces>5882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2025-06-30T04:09:22Z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