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E1AF" w14:textId="2BF60282" w:rsidR="00C30693" w:rsidRDefault="008D62D4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</w:t>
      </w:r>
      <w:r w:rsidR="00A61122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四川绵竹川润化工有限公司</w:t>
      </w:r>
    </w:p>
    <w:p w14:paraId="6F8C38DF" w14:textId="4D866329" w:rsidR="00C30693" w:rsidRDefault="00A61122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《2025年度氨水运输》询价函</w:t>
      </w:r>
    </w:p>
    <w:p w14:paraId="29BB37DE" w14:textId="77777777" w:rsidR="00C30693" w:rsidRDefault="00C30693">
      <w:pPr>
        <w:rPr>
          <w:rFonts w:ascii="黑体" w:eastAsia="黑体" w:hAnsi="黑体" w:cs="黑体"/>
          <w:b/>
          <w:lang w:eastAsia="zh-CN"/>
        </w:rPr>
      </w:pPr>
    </w:p>
    <w:p w14:paraId="3582846D" w14:textId="77777777" w:rsidR="00C30693" w:rsidRDefault="00A61122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5EAA0A3F" w:rsidR="00C30693" w:rsidRDefault="00A61122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因生产需要,我公司需对2025年度氨水运输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(运输起点</w:t>
      </w:r>
      <w:r w:rsidR="009D07BC" w:rsidRPr="009D07BC">
        <w:rPr>
          <w:rFonts w:ascii="黑体" w:eastAsia="黑体" w:hAnsi="黑体" w:cs="黑体" w:hint="eastAsia"/>
          <w:sz w:val="28"/>
          <w:szCs w:val="28"/>
          <w:lang w:eastAsia="zh-CN"/>
        </w:rPr>
        <w:t>四川绵竹川润化工有限公司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氨水站至四川宏达股份有限公司磷化工分公司)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进行询价。（报价时，请充分测算，我方在进行比价时原则上不进行第二次议价），请于2025年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3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17:00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前将报价单（需加盖公章）打印盖章后，以电子文件方式（PDF、扫描文件等）上传至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5AD3B933" w14:textId="7CF30390" w:rsidR="008E272F" w:rsidRDefault="008D62D4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黑体"/>
          <w:kern w:val="2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kern w:val="2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kern w:val="2"/>
          <w:sz w:val="28"/>
          <w:szCs w:val="28"/>
        </w:rPr>
        <w:t>:</w:t>
      </w:r>
      <w:r w:rsidR="007B445C">
        <w:rPr>
          <w:rFonts w:ascii="黑体" w:eastAsia="黑体" w:hAnsi="黑体" w:cs="黑体" w:hint="eastAsia"/>
          <w:kern w:val="2"/>
          <w:sz w:val="28"/>
          <w:szCs w:val="28"/>
        </w:rPr>
        <w:t>资质及相关</w:t>
      </w:r>
      <w:r w:rsidR="00A61122">
        <w:rPr>
          <w:rFonts w:ascii="黑体" w:eastAsia="黑体" w:hAnsi="黑体" w:cs="黑体" w:hint="eastAsia"/>
          <w:kern w:val="2"/>
          <w:sz w:val="28"/>
          <w:szCs w:val="28"/>
        </w:rPr>
        <w:t>要求：</w:t>
      </w:r>
    </w:p>
    <w:p w14:paraId="3C8BD0BD" w14:textId="5A844EED" w:rsidR="008E272F" w:rsidRDefault="008D62D4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1</w:t>
      </w:r>
      <w:r w:rsidR="008E272F">
        <w:rPr>
          <w:rFonts w:ascii="黑体" w:eastAsia="黑体" w:hAnsi="黑体" w:cs="Segoe UI" w:hint="eastAsia"/>
          <w:color w:val="4E5463"/>
          <w:sz w:val="28"/>
          <w:szCs w:val="28"/>
        </w:rPr>
        <w:t>:具有经营物流运输的能力，响应并满足询价方对投标人的资格要求，参加投标竞争并具有独立承担民事责任能力的法人。</w:t>
      </w:r>
    </w:p>
    <w:p w14:paraId="4C675D19" w14:textId="021D8A24" w:rsidR="007B445C" w:rsidRPr="007B445C" w:rsidRDefault="008D62D4" w:rsidP="007B445C">
      <w:pPr>
        <w:widowControl/>
        <w:shd w:val="clear" w:color="auto" w:fill="FFFFFF"/>
        <w:spacing w:line="360" w:lineRule="atLeast"/>
        <w:ind w:firstLineChars="200" w:firstLine="560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2</w:t>
      </w:r>
      <w:r w:rsid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: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资质要求：在中华人民共和国境内依法注册，提供中华人民共和国道路运输经营许可证</w:t>
      </w:r>
      <w:r w:rsidR="007B445C" w:rsidRPr="007B445C">
        <w:rPr>
          <w:rFonts w:hint="eastAsia"/>
          <w:color w:val="4E5463"/>
          <w:sz w:val="28"/>
          <w:szCs w:val="28"/>
          <w:lang w:eastAsia="zh-CN"/>
        </w:rPr>
        <w:t>〖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经营范围：危险货物运输(8类）</w:t>
      </w:r>
      <w:r w:rsidR="007B445C" w:rsidRPr="007B445C">
        <w:rPr>
          <w:rFonts w:hint="eastAsia"/>
          <w:color w:val="4E5463"/>
          <w:sz w:val="28"/>
          <w:szCs w:val="28"/>
          <w:lang w:eastAsia="zh-CN"/>
        </w:rPr>
        <w:t>〗,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具有独立法人资格、具有招标货物运输能力的企业，为增值税一般纳税人，具有合法、有效的营业执照（三证合一）证件并提供复印件。</w:t>
      </w:r>
    </w:p>
    <w:p w14:paraId="3178875A" w14:textId="49E331B0" w:rsidR="00C30693" w:rsidRDefault="008D62D4">
      <w:pPr>
        <w:autoSpaceDE/>
        <w:autoSpaceDN/>
        <w:spacing w:line="480" w:lineRule="exact"/>
        <w:ind w:firstLineChars="200" w:firstLine="560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  <w:r>
        <w:rPr>
          <w:rFonts w:ascii="黑体" w:eastAsia="黑体" w:hAnsi="黑体" w:cs="黑体"/>
          <w:kern w:val="2"/>
          <w:sz w:val="28"/>
          <w:szCs w:val="28"/>
          <w:lang w:eastAsia="zh-CN"/>
        </w:rPr>
        <w:t>二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:</w:t>
      </w:r>
      <w:r w:rsidRPr="008D62D4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物流服务及其他要求</w:t>
      </w:r>
    </w:p>
    <w:p w14:paraId="5C35A628" w14:textId="11343D2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1:</w:t>
      </w:r>
      <w:r w:rsidRPr="00960E1F">
        <w:rPr>
          <w:rFonts w:ascii="黑体" w:eastAsia="黑体" w:hAnsi="黑体" w:cs="Segoe UI" w:hint="eastAsia"/>
          <w:color w:val="4E5463"/>
          <w:sz w:val="28"/>
          <w:szCs w:val="28"/>
        </w:rPr>
        <w:t xml:space="preserve"> 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运输危险品货物的车辆，以符合交通部规定的特种全封闭危险品罐装汽车进行运输。车辆应安装视频监控设备，可提供全程录像，保障货物安全。</w:t>
      </w:r>
    </w:p>
    <w:p w14:paraId="69B79B6E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2：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车辆罐体要求：所有装运车辆，罐体内部必须整洁、无杂物，不能出现有影响质量风险的其他异类物质。</w:t>
      </w:r>
    </w:p>
    <w:p w14:paraId="068EF0B7" w14:textId="29D4E6AC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lastRenderedPageBreak/>
        <w:t>3：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中标方在运输作业时，装车完成后应对车辆状况进行相应的检查。</w:t>
      </w:r>
    </w:p>
    <w:p w14:paraId="0539B001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4：运输的中标方，须熟悉完整的提货、装货流程，并与各方形成良好的合作关系。</w:t>
      </w:r>
    </w:p>
    <w:p w14:paraId="6B7D0A23" w14:textId="724BCF7F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5：中标方在货物运输时必须全额投保《国内陆路货物运输保险》，承运司机、押运员必须投保《人身意外险》。</w:t>
      </w:r>
    </w:p>
    <w:p w14:paraId="36FADAC6" w14:textId="48C46670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6：中标方在运输过程中应遵守《中华人民共和国公路法》、《中华人民共和国道路交通安全法》、《危险货物道路运输安全管理办法》、</w:t>
      </w:r>
    </w:p>
    <w:p w14:paraId="50A7B3B9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《四川省公路条例》、《四川省高速公路条例》、《四川省治理公路超限超载运输办法》等有关法律、法规的规定。</w:t>
      </w:r>
    </w:p>
    <w:p w14:paraId="4CA69939" w14:textId="4831CAD8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7:中标方对车辆应有管控手段，可随时提供车辆行程轨迹（GPS）。</w:t>
      </w:r>
    </w:p>
    <w:p w14:paraId="5A57201E" w14:textId="6C58E225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8:车辆要求：自有车辆应以国5及以上为主。</w:t>
      </w:r>
    </w:p>
    <w:p w14:paraId="6A5A7087" w14:textId="6144F5BE" w:rsidR="00D16ED3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9:中标方应对突发事件有相应协调处理能力及预案。</w:t>
      </w:r>
    </w:p>
    <w:p w14:paraId="1E6BF2E6" w14:textId="51E8E0EC" w:rsidR="00960E1F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三、考核机制</w:t>
      </w:r>
    </w:p>
    <w:p w14:paraId="108619D4" w14:textId="7EEF633F" w:rsidR="00D16ED3" w:rsidRPr="00960E1F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中标方必须响应招标方每次运输服务要求，不得无故拒绝，为提高日常服务质量，原则上招标方当日安排次日计划，</w:t>
      </w:r>
      <w:proofErr w:type="gramStart"/>
      <w:r>
        <w:rPr>
          <w:rFonts w:ascii="黑体" w:eastAsia="黑体" w:hAnsi="黑体" w:cs="Segoe UI" w:hint="eastAsia"/>
          <w:color w:val="4E5463"/>
          <w:sz w:val="28"/>
          <w:szCs w:val="28"/>
        </w:rPr>
        <w:t>若车辆</w:t>
      </w:r>
      <w:proofErr w:type="gramEnd"/>
      <w:r>
        <w:rPr>
          <w:rFonts w:ascii="黑体" w:eastAsia="黑体" w:hAnsi="黑体" w:cs="Segoe UI" w:hint="eastAsia"/>
          <w:color w:val="4E5463"/>
          <w:sz w:val="28"/>
          <w:szCs w:val="28"/>
        </w:rPr>
        <w:t>未按约定时间至约定地点装载货物，延误一天(24小时)扣罚100元/</w:t>
      </w:r>
      <w:r w:rsidR="009C5327">
        <w:rPr>
          <w:rFonts w:ascii="黑体" w:eastAsia="黑体" w:hAnsi="黑体" w:cs="Segoe UI" w:hint="eastAsia"/>
          <w:color w:val="4E5463"/>
          <w:sz w:val="28"/>
          <w:szCs w:val="28"/>
        </w:rPr>
        <w:t>车，依次类推。</w:t>
      </w:r>
      <w:r w:rsidR="009C5327" w:rsidRPr="00960E1F">
        <w:rPr>
          <w:rFonts w:ascii="黑体" w:eastAsia="黑体" w:hAnsi="黑体" w:cs="Segoe UI"/>
          <w:color w:val="4E5463"/>
          <w:sz w:val="28"/>
          <w:szCs w:val="28"/>
        </w:rPr>
        <w:t xml:space="preserve"> </w:t>
      </w:r>
    </w:p>
    <w:p w14:paraId="19DC024D" w14:textId="7332CD00" w:rsidR="00DD5B6B" w:rsidRDefault="00DD5B6B" w:rsidP="00DD5B6B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四:运输时间及路线</w:t>
      </w:r>
    </w:p>
    <w:p w14:paraId="5ECE2F39" w14:textId="37400A42" w:rsidR="00DD5B6B" w:rsidRDefault="005A5AAD" w:rsidP="00DD5B6B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运输线路:</w:t>
      </w:r>
      <w:proofErr w:type="gramStart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四川绵竹川润有限公司氨站</w:t>
      </w:r>
      <w:proofErr w:type="gramEnd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(四川省德阳市</w:t>
      </w:r>
      <w:proofErr w:type="gramStart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绵竹市孝德</w:t>
      </w:r>
      <w:proofErr w:type="gramEnd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镇茶店子村九组)至四川宏达股份有限公司</w:t>
      </w:r>
      <w:bookmarkStart w:id="0" w:name="OLE_LINK114"/>
      <w:r w:rsidR="00DD5B6B" w:rsidRPr="009471EC">
        <w:rPr>
          <w:rFonts w:ascii="黑体" w:eastAsia="黑体" w:hAnsi="黑体" w:cs="Segoe UI" w:hint="eastAsia"/>
          <w:color w:val="4E5463"/>
          <w:sz w:val="28"/>
          <w:szCs w:val="28"/>
        </w:rPr>
        <w:t>什邡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磷化工分公司</w:t>
      </w:r>
      <w:bookmarkEnd w:id="0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(四川省德阳市什邡市</w:t>
      </w:r>
      <w:proofErr w:type="gramStart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洛</w:t>
      </w:r>
      <w:proofErr w:type="gramEnd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水镇)，</w:t>
      </w:r>
      <w:r w:rsidR="00DD5B6B" w:rsidRPr="009471EC">
        <w:rPr>
          <w:rFonts w:ascii="黑体" w:eastAsia="黑体" w:hAnsi="黑体" w:cs="Segoe UI" w:hint="eastAsia"/>
          <w:color w:val="4E5463"/>
          <w:sz w:val="28"/>
          <w:szCs w:val="28"/>
        </w:rPr>
        <w:t>期间氨水承运数量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约3600吨，承运距离约3</w:t>
      </w:r>
      <w:r w:rsidR="00CB4C1C">
        <w:rPr>
          <w:rFonts w:ascii="黑体" w:eastAsia="黑体" w:hAnsi="黑体" w:cs="Segoe UI" w:hint="eastAsia"/>
          <w:color w:val="4E5463"/>
          <w:sz w:val="28"/>
          <w:szCs w:val="28"/>
        </w:rPr>
        <w:t>2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公里。</w:t>
      </w:r>
    </w:p>
    <w:p w14:paraId="068B6B20" w14:textId="702EC638" w:rsidR="00C30693" w:rsidRDefault="00677D73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运输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期：</w:t>
      </w:r>
      <w:r w:rsidR="00832CE1">
        <w:rPr>
          <w:rFonts w:ascii="黑体" w:eastAsia="黑体" w:hAnsi="黑体" w:cs="黑体" w:hint="eastAsia"/>
          <w:sz w:val="28"/>
          <w:szCs w:val="28"/>
          <w:lang w:eastAsia="zh-CN"/>
        </w:rPr>
        <w:t>合同签订日起一年。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</w:p>
    <w:p w14:paraId="5FA8D389" w14:textId="078AE8D1" w:rsidR="00C30693" w:rsidRDefault="00DD5B6B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五: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发票：一票制，中标人开具全额增值税专用发票。</w:t>
      </w:r>
    </w:p>
    <w:p w14:paraId="35B977AD" w14:textId="67BAB1F7" w:rsidR="006531F7" w:rsidRDefault="000648EE" w:rsidP="006531F7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六:本项目须缴纳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投标保证金:2000元，开标完成5个工作日一次性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>退还，保证金无息，</w:t>
      </w:r>
      <w:r w:rsidR="006531F7">
        <w:rPr>
          <w:rFonts w:ascii="黑体" w:eastAsia="黑体" w:hAnsi="黑体" w:cs="黑体" w:hint="eastAsia"/>
          <w:sz w:val="28"/>
          <w:szCs w:val="28"/>
          <w:lang w:eastAsia="zh-CN"/>
        </w:rPr>
        <w:t>户名: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四川宏达股份有限公司</w:t>
      </w:r>
      <w:r w:rsid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开户行: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中国银行什邡支行营业部</w:t>
      </w:r>
      <w:r w:rsidR="006531F7" w:rsidRPr="006531F7">
        <w:rPr>
          <w:rFonts w:ascii="黑体" w:eastAsia="黑体" w:hAnsi="黑体" w:cs="黑体"/>
          <w:sz w:val="28"/>
          <w:szCs w:val="28"/>
          <w:lang w:eastAsia="zh-CN"/>
        </w:rPr>
        <w:t xml:space="preserve">   </w:t>
      </w:r>
      <w:r w:rsidR="006531F7">
        <w:rPr>
          <w:rFonts w:ascii="黑体" w:eastAsia="黑体" w:hAnsi="黑体" w:cs="黑体"/>
          <w:sz w:val="28"/>
          <w:szCs w:val="28"/>
          <w:lang w:eastAsia="zh-CN"/>
        </w:rPr>
        <w:t>账号</w:t>
      </w:r>
      <w:r w:rsidR="006531F7" w:rsidRPr="006531F7">
        <w:rPr>
          <w:rFonts w:ascii="黑体" w:eastAsia="黑体" w:hAnsi="黑体" w:cs="黑体"/>
          <w:sz w:val="28"/>
          <w:szCs w:val="28"/>
          <w:lang w:eastAsia="zh-CN"/>
        </w:rPr>
        <w:t xml:space="preserve">122553636205                                                                                                              </w:t>
      </w:r>
    </w:p>
    <w:p w14:paraId="5FDF28DD" w14:textId="70BAC771" w:rsidR="0052782F" w:rsidRPr="0052782F" w:rsidRDefault="000648EE" w:rsidP="006531F7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七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:本项目须缴纳履约保证金: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10000元，合同到期一次性退还</w:t>
      </w:r>
      <w:r w:rsidR="00E46E01">
        <w:rPr>
          <w:rFonts w:ascii="黑体" w:eastAsia="黑体" w:hAnsi="黑体" w:cs="黑体" w:hint="eastAsia"/>
          <w:sz w:val="28"/>
          <w:szCs w:val="28"/>
          <w:lang w:eastAsia="zh-CN"/>
        </w:rPr>
        <w:t>，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保证金无息，</w:t>
      </w:r>
      <w:r w:rsidR="00E46E01">
        <w:rPr>
          <w:rFonts w:ascii="黑体" w:eastAsia="黑体" w:hAnsi="黑体" w:cs="黑体" w:hint="eastAsia"/>
          <w:sz w:val="28"/>
          <w:szCs w:val="28"/>
          <w:lang w:eastAsia="zh-CN"/>
        </w:rPr>
        <w:t>履约保证金缴纳账号:</w:t>
      </w:r>
      <w:r w:rsidR="00E46E01" w:rsidRPr="00E46E01">
        <w:rPr>
          <w:rFonts w:ascii="黑体" w:eastAsia="黑体" w:hAnsi="黑体" w:cs="黑体" w:hint="eastAsia"/>
          <w:sz w:val="28"/>
          <w:szCs w:val="28"/>
          <w:u w:val="single"/>
          <w:lang w:eastAsia="zh-CN"/>
        </w:rPr>
        <w:t xml:space="preserve"> </w:t>
      </w:r>
      <w:bookmarkStart w:id="1" w:name="_GoBack"/>
      <w:r w:rsidR="004E759B" w:rsidRPr="006531F7">
        <w:rPr>
          <w:rFonts w:ascii="黑体" w:eastAsia="黑体" w:hAnsi="黑体" w:cs="黑体"/>
          <w:sz w:val="28"/>
          <w:szCs w:val="28"/>
          <w:lang w:eastAsia="zh-CN"/>
        </w:rPr>
        <w:t>2305370109022100550</w:t>
      </w:r>
      <w:r w:rsidR="00E46E01" w:rsidRP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 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  <w:r w:rsidR="000F286F">
        <w:rPr>
          <w:rFonts w:ascii="黑体" w:eastAsia="黑体" w:hAnsi="黑体" w:cs="黑体" w:hint="eastAsia"/>
          <w:sz w:val="28"/>
          <w:szCs w:val="28"/>
          <w:lang w:eastAsia="zh-CN"/>
        </w:rPr>
        <w:t>开户</w:t>
      </w:r>
      <w:r w:rsidR="00C77704">
        <w:rPr>
          <w:rFonts w:ascii="黑体" w:eastAsia="黑体" w:hAnsi="黑体" w:cs="黑体" w:hint="eastAsia"/>
          <w:sz w:val="28"/>
          <w:szCs w:val="28"/>
          <w:lang w:eastAsia="zh-CN"/>
        </w:rPr>
        <w:t xml:space="preserve">银行 </w:t>
      </w:r>
      <w:r w:rsidR="00C77704" w:rsidRP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4E759B" w:rsidRPr="006531F7">
        <w:rPr>
          <w:rFonts w:ascii="黑体" w:eastAsia="黑体" w:hAnsi="黑体" w:cs="黑体" w:hint="eastAsia"/>
          <w:sz w:val="28"/>
          <w:szCs w:val="28"/>
          <w:lang w:eastAsia="zh-CN"/>
        </w:rPr>
        <w:t>工行绵竹支行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，户名:</w:t>
      </w:r>
      <w:r w:rsidR="006531F7" w:rsidRPr="009D07BC">
        <w:rPr>
          <w:rFonts w:ascii="黑体" w:eastAsia="黑体" w:hAnsi="黑体" w:cs="黑体" w:hint="eastAsia"/>
          <w:sz w:val="28"/>
          <w:szCs w:val="28"/>
          <w:lang w:eastAsia="zh-CN"/>
        </w:rPr>
        <w:t>四川绵竹川润化工有限公司</w:t>
      </w:r>
    </w:p>
    <w:bookmarkEnd w:id="1"/>
    <w:p w14:paraId="1DE92EC8" w14:textId="4C86F97D" w:rsidR="00C30693" w:rsidRDefault="000648E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八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:付款方式：</w:t>
      </w:r>
    </w:p>
    <w:p w14:paraId="571F8510" w14:textId="0CE3E200" w:rsidR="00883E5C" w:rsidRDefault="00883E5C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先货后款，中标人开具全额增值税专用运输发票财务入账后，每月结算。</w:t>
      </w:r>
    </w:p>
    <w:p w14:paraId="0F98E0A8" w14:textId="269EE064" w:rsidR="00C30693" w:rsidRDefault="000648E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九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: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63A7647F" w:rsidR="00C30693" w:rsidRDefault="00A61122">
      <w:pPr>
        <w:autoSpaceDE/>
        <w:autoSpaceDN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</w:t>
      </w:r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四川绵竹川润有限公司((四川省德阳市</w:t>
      </w:r>
      <w:proofErr w:type="gramStart"/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绵竹市孝德</w:t>
      </w:r>
      <w:proofErr w:type="gramEnd"/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镇茶店子村九组))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4ECA5298" w:rsidR="00C30693" w:rsidRDefault="00A61122">
      <w:pPr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技术联系人：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 xml:space="preserve">赵天军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13778287056</w:t>
      </w:r>
    </w:p>
    <w:p w14:paraId="51829595" w14:textId="77777777" w:rsidR="00C30693" w:rsidRDefault="00C30693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3F2997C8" w14:textId="22D418A0" w:rsidR="00C30693" w:rsidRDefault="00B8318F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四川绵竹川润有限公司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</w:t>
      </w:r>
    </w:p>
    <w:p w14:paraId="36BF4857" w14:textId="1B86CF53" w:rsidR="00C30693" w:rsidRDefault="00A61122">
      <w:pPr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2025年 </w:t>
      </w:r>
      <w:r w:rsidR="00B8590E">
        <w:rPr>
          <w:rFonts w:ascii="黑体" w:eastAsia="黑体" w:hAnsi="黑体" w:cs="黑体" w:hint="eastAsia"/>
          <w:sz w:val="28"/>
          <w:szCs w:val="28"/>
          <w:lang w:eastAsia="zh-CN"/>
        </w:rPr>
        <w:t>6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月 </w:t>
      </w:r>
      <w:r w:rsidR="00B8590E">
        <w:rPr>
          <w:rFonts w:ascii="黑体" w:eastAsia="黑体" w:hAnsi="黑体" w:cs="黑体" w:hint="eastAsia"/>
          <w:sz w:val="28"/>
          <w:szCs w:val="28"/>
          <w:lang w:eastAsia="zh-CN"/>
        </w:rPr>
        <w:t>27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日</w:t>
      </w:r>
    </w:p>
    <w:p w14:paraId="792EDBCB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D41EF3E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8F0FA94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BB9998B" w14:textId="77777777" w:rsidR="00C30693" w:rsidRDefault="00C30693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</w:p>
    <w:p w14:paraId="75977F28" w14:textId="77777777" w:rsidR="00E24D8C" w:rsidRDefault="00E24D8C" w:rsidP="00E24D8C">
      <w:pPr>
        <w:rPr>
          <w:lang w:eastAsia="zh-CN"/>
        </w:rPr>
      </w:pPr>
    </w:p>
    <w:p w14:paraId="4FF60CC1" w14:textId="77777777" w:rsidR="00E24D8C" w:rsidRDefault="00E24D8C" w:rsidP="00E24D8C">
      <w:pPr>
        <w:rPr>
          <w:lang w:eastAsia="zh-CN"/>
        </w:rPr>
      </w:pPr>
    </w:p>
    <w:p w14:paraId="2D541F42" w14:textId="77777777" w:rsidR="00E24D8C" w:rsidRDefault="00E24D8C" w:rsidP="00E24D8C">
      <w:pPr>
        <w:rPr>
          <w:lang w:eastAsia="zh-CN"/>
        </w:rPr>
      </w:pPr>
    </w:p>
    <w:p w14:paraId="68B93E10" w14:textId="77777777" w:rsidR="00E24D8C" w:rsidRDefault="00E24D8C" w:rsidP="00E24D8C">
      <w:pPr>
        <w:rPr>
          <w:lang w:eastAsia="zh-CN"/>
        </w:rPr>
      </w:pPr>
    </w:p>
    <w:p w14:paraId="258EE99E" w14:textId="77777777" w:rsidR="00E24D8C" w:rsidRDefault="00E24D8C" w:rsidP="00E24D8C">
      <w:pPr>
        <w:rPr>
          <w:lang w:eastAsia="zh-CN"/>
        </w:rPr>
      </w:pPr>
    </w:p>
    <w:p w14:paraId="76A52B43" w14:textId="77777777" w:rsidR="00E24D8C" w:rsidRDefault="00E24D8C" w:rsidP="00E24D8C">
      <w:pPr>
        <w:rPr>
          <w:lang w:eastAsia="zh-CN"/>
        </w:rPr>
      </w:pPr>
    </w:p>
    <w:p w14:paraId="39799384" w14:textId="77777777" w:rsidR="00E24D8C" w:rsidRDefault="00E24D8C" w:rsidP="00E24D8C">
      <w:pPr>
        <w:rPr>
          <w:lang w:eastAsia="zh-CN"/>
        </w:rPr>
      </w:pPr>
    </w:p>
    <w:p w14:paraId="081CF145" w14:textId="77777777" w:rsidR="00E24D8C" w:rsidRDefault="00E24D8C" w:rsidP="00E24D8C">
      <w:pPr>
        <w:rPr>
          <w:lang w:eastAsia="zh-CN"/>
        </w:rPr>
      </w:pPr>
    </w:p>
    <w:p w14:paraId="0F3FE3F9" w14:textId="77777777" w:rsidR="00E24D8C" w:rsidRDefault="00E24D8C" w:rsidP="00E24D8C">
      <w:pPr>
        <w:rPr>
          <w:lang w:eastAsia="zh-CN"/>
        </w:rPr>
      </w:pPr>
    </w:p>
    <w:p w14:paraId="21197564" w14:textId="77777777" w:rsidR="00E24D8C" w:rsidRPr="00E24D8C" w:rsidRDefault="00E24D8C" w:rsidP="00E24D8C">
      <w:pPr>
        <w:rPr>
          <w:lang w:eastAsia="zh-CN"/>
        </w:rPr>
      </w:pPr>
    </w:p>
    <w:p w14:paraId="09B7B158" w14:textId="77777777" w:rsidR="00C30693" w:rsidRDefault="00A61122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lastRenderedPageBreak/>
        <w:t>附件一：</w:t>
      </w:r>
    </w:p>
    <w:p w14:paraId="4B242114" w14:textId="77777777" w:rsidR="00C30693" w:rsidRDefault="00C30693">
      <w:pPr>
        <w:rPr>
          <w:lang w:eastAsia="zh-CN"/>
        </w:rPr>
      </w:pPr>
    </w:p>
    <w:p w14:paraId="778C395D" w14:textId="77777777" w:rsidR="00C30693" w:rsidRDefault="00A61122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C533617" w14:textId="48823151" w:rsidR="00C30693" w:rsidRDefault="00CB4C1C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四川绵竹川润化工有限公司</w:t>
      </w:r>
      <w:r w:rsidR="00A61122">
        <w:rPr>
          <w:rFonts w:ascii="黑体" w:eastAsia="黑体" w:hAnsi="黑体" w:cs="黑体" w:hint="eastAsia"/>
          <w:b/>
          <w:sz w:val="28"/>
          <w:szCs w:val="28"/>
          <w:lang w:eastAsia="zh-CN"/>
        </w:rPr>
        <w:t>：</w:t>
      </w:r>
    </w:p>
    <w:p w14:paraId="317F2663" w14:textId="4C4FAE79" w:rsidR="00C30693" w:rsidRDefault="00A61122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r w:rsidR="00CB4C1C" w:rsidRPr="00CB4C1C">
        <w:rPr>
          <w:rFonts w:ascii="黑体" w:eastAsia="黑体" w:hAnsi="黑体" w:cs="黑体" w:hint="eastAsia"/>
          <w:sz w:val="28"/>
          <w:szCs w:val="28"/>
          <w:lang w:eastAsia="zh-CN"/>
        </w:rPr>
        <w:t>2025年度氨水运输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》项目询价函已收悉，我公司根据函的要求，对此次《</w:t>
      </w:r>
      <w:r w:rsidR="00CB4C1C" w:rsidRPr="00CB4C1C">
        <w:rPr>
          <w:rFonts w:ascii="黑体" w:eastAsia="黑体" w:hAnsi="黑体" w:cs="黑体" w:hint="eastAsia"/>
          <w:sz w:val="28"/>
          <w:szCs w:val="28"/>
          <w:lang w:eastAsia="zh-CN"/>
        </w:rPr>
        <w:t>2025年度氨水运输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C30693" w:rsidRDefault="00A61122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1545"/>
        <w:gridCol w:w="2970"/>
      </w:tblGrid>
      <w:tr w:rsidR="00C30693" w14:paraId="0543640C" w14:textId="77777777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77777777" w:rsidR="00C30693" w:rsidRDefault="00A6112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77777" w:rsidR="00C30693" w:rsidRDefault="00A6112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内容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101ED58B" w14:textId="2261745F" w:rsidR="00C30693" w:rsidRDefault="00976859">
            <w:pPr>
              <w:pStyle w:val="p18"/>
              <w:spacing w:line="400" w:lineRule="exact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lang w:eastAsia="zh-CN"/>
              </w:rPr>
              <w:t>单价</w:t>
            </w:r>
            <w:r>
              <w:rPr>
                <w:rFonts w:ascii="黑体" w:eastAsia="黑体" w:hAnsi="黑体" w:hint="eastAsia"/>
                <w:lang w:eastAsia="zh-CN"/>
              </w:rPr>
              <w:t>(元/吨)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C30693" w:rsidRDefault="00A61122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C30693" w14:paraId="27D0C50E" w14:textId="77777777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20B3D9C3" w:rsidR="00C30693" w:rsidRDefault="00CB4C1C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CB4C1C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2025年度氨水运输</w:t>
            </w:r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44D0C9ED" w:rsidR="00C30693" w:rsidRDefault="00CB4C1C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>氨水运输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69F06BC5" w14:textId="77777777" w:rsidR="00C30693" w:rsidRDefault="00C30693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C30693" w:rsidRDefault="00C30693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</w:tbl>
    <w:p w14:paraId="6054E734" w14:textId="77777777" w:rsidR="00C30693" w:rsidRDefault="00C30693">
      <w:pPr>
        <w:widowControl/>
        <w:spacing w:line="480" w:lineRule="exact"/>
        <w:rPr>
          <w:rFonts w:ascii="黑体" w:eastAsia="黑体" w:hAnsi="黑体"/>
          <w:sz w:val="24"/>
          <w:lang w:eastAsia="zh-CN"/>
        </w:rPr>
      </w:pPr>
    </w:p>
    <w:p w14:paraId="235E972A" w14:textId="23E6F8C3" w:rsidR="00C30693" w:rsidRDefault="003D6BD0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运输</w:t>
      </w:r>
      <w:r w:rsidR="00A61122">
        <w:rPr>
          <w:rFonts w:ascii="黑体" w:eastAsia="黑体" w:hAnsi="黑体" w:hint="eastAsia"/>
          <w:sz w:val="28"/>
          <w:szCs w:val="28"/>
          <w:lang w:eastAsia="zh-CN"/>
        </w:rPr>
        <w:t>时间：</w:t>
      </w:r>
      <w:r w:rsidR="00A61122"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。</w:t>
      </w:r>
    </w:p>
    <w:p w14:paraId="4A37BB2A" w14:textId="12AA7B2F" w:rsidR="00C30693" w:rsidRDefault="00A61122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DC60E2">
        <w:rPr>
          <w:rFonts w:ascii="黑体" w:eastAsia="黑体" w:hAnsi="黑体" w:cs="黑体" w:hint="eastAsia"/>
          <w:sz w:val="28"/>
          <w:szCs w:val="28"/>
          <w:lang w:eastAsia="zh-CN"/>
        </w:rPr>
        <w:t>先货后款，中标人开具全额增值税专用运输发票财务入账后，每月结算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74B69422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 w:rsidR="001670A9">
        <w:rPr>
          <w:rFonts w:ascii="黑体" w:eastAsia="黑体" w:hAnsi="黑体" w:cs="黑体" w:hint="eastAsia"/>
          <w:sz w:val="28"/>
          <w:szCs w:val="28"/>
          <w:lang w:eastAsia="zh-CN"/>
        </w:rPr>
        <w:t>增值税专用运输发票</w:t>
      </w:r>
      <w:r w:rsidR="001670A9" w:rsidRPr="001670A9">
        <w:rPr>
          <w:rFonts w:ascii="黑体" w:eastAsia="黑体" w:hAnsi="黑体" w:cs="黑体" w:hint="eastAsia"/>
          <w:sz w:val="28"/>
          <w:szCs w:val="28"/>
          <w:lang w:eastAsia="zh-CN"/>
        </w:rPr>
        <w:t>税率9%。</w:t>
      </w:r>
    </w:p>
    <w:p w14:paraId="02552987" w14:textId="77777777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 w:rsidRPr="001670A9">
        <w:rPr>
          <w:rFonts w:ascii="黑体" w:eastAsia="黑体" w:hAnsi="黑体" w:cs="黑体" w:hint="eastAsia"/>
          <w:sz w:val="28"/>
          <w:szCs w:val="28"/>
          <w:lang w:eastAsia="zh-CN"/>
        </w:rPr>
        <w:t>五、后附营业执照及相关资质。</w:t>
      </w:r>
    </w:p>
    <w:p w14:paraId="57A6CE6C" w14:textId="77777777" w:rsidR="00C30693" w:rsidRDefault="00C30693">
      <w:pPr>
        <w:pStyle w:val="a3"/>
        <w:ind w:firstLine="560"/>
        <w:rPr>
          <w:lang w:eastAsia="zh-CN"/>
        </w:rPr>
      </w:pPr>
    </w:p>
    <w:p w14:paraId="497CE1C2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C5DF760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报价单位：</w:t>
      </w:r>
    </w:p>
    <w:p w14:paraId="0E675EFC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0AE11527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 月  日</w:t>
      </w:r>
    </w:p>
    <w:p w14:paraId="06F0C3B9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C30693" w:rsidRDefault="00C30693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C30693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3177D"/>
    <w:rsid w:val="00043C58"/>
    <w:rsid w:val="000648EE"/>
    <w:rsid w:val="000C72BC"/>
    <w:rsid w:val="000D3773"/>
    <w:rsid w:val="000D415E"/>
    <w:rsid w:val="000F286F"/>
    <w:rsid w:val="001372AC"/>
    <w:rsid w:val="001670A9"/>
    <w:rsid w:val="001D7E58"/>
    <w:rsid w:val="00280CBF"/>
    <w:rsid w:val="002A174C"/>
    <w:rsid w:val="002A67E3"/>
    <w:rsid w:val="003D6BD0"/>
    <w:rsid w:val="003E4A5B"/>
    <w:rsid w:val="0041707E"/>
    <w:rsid w:val="0044701B"/>
    <w:rsid w:val="00452259"/>
    <w:rsid w:val="00473784"/>
    <w:rsid w:val="004E759B"/>
    <w:rsid w:val="004F05FF"/>
    <w:rsid w:val="00520ED3"/>
    <w:rsid w:val="0052782F"/>
    <w:rsid w:val="00571933"/>
    <w:rsid w:val="005A5638"/>
    <w:rsid w:val="005A5AAD"/>
    <w:rsid w:val="006134E9"/>
    <w:rsid w:val="006531F7"/>
    <w:rsid w:val="0065368A"/>
    <w:rsid w:val="00677D73"/>
    <w:rsid w:val="00691E51"/>
    <w:rsid w:val="006E6E4B"/>
    <w:rsid w:val="00701140"/>
    <w:rsid w:val="007A2FEB"/>
    <w:rsid w:val="007A795E"/>
    <w:rsid w:val="007B445C"/>
    <w:rsid w:val="0081734A"/>
    <w:rsid w:val="00832CE1"/>
    <w:rsid w:val="00883E5C"/>
    <w:rsid w:val="008D18E2"/>
    <w:rsid w:val="008D62D4"/>
    <w:rsid w:val="008E272F"/>
    <w:rsid w:val="00960E1F"/>
    <w:rsid w:val="00961125"/>
    <w:rsid w:val="00976859"/>
    <w:rsid w:val="009C5327"/>
    <w:rsid w:val="009D07BC"/>
    <w:rsid w:val="00A03B10"/>
    <w:rsid w:val="00A30853"/>
    <w:rsid w:val="00A550C0"/>
    <w:rsid w:val="00A61122"/>
    <w:rsid w:val="00B8318F"/>
    <w:rsid w:val="00B8590E"/>
    <w:rsid w:val="00B979C2"/>
    <w:rsid w:val="00C134C4"/>
    <w:rsid w:val="00C30693"/>
    <w:rsid w:val="00C37462"/>
    <w:rsid w:val="00C63615"/>
    <w:rsid w:val="00C77704"/>
    <w:rsid w:val="00C94C7F"/>
    <w:rsid w:val="00CB4C1C"/>
    <w:rsid w:val="00D16ED3"/>
    <w:rsid w:val="00D26E52"/>
    <w:rsid w:val="00D462A5"/>
    <w:rsid w:val="00D96AA6"/>
    <w:rsid w:val="00DC60E2"/>
    <w:rsid w:val="00DD5B6B"/>
    <w:rsid w:val="00E03BEF"/>
    <w:rsid w:val="00E11A66"/>
    <w:rsid w:val="00E24D8C"/>
    <w:rsid w:val="00E46E01"/>
    <w:rsid w:val="00F215EB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HUAWEI</cp:lastModifiedBy>
  <cp:revision>51</cp:revision>
  <dcterms:created xsi:type="dcterms:W3CDTF">2025-06-27T06:56:00Z</dcterms:created>
  <dcterms:modified xsi:type="dcterms:W3CDTF">2025-06-28T09:24:00Z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